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3F" w:rsidRDefault="0025773F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73F" w:rsidRPr="0025773F" w:rsidRDefault="0025773F" w:rsidP="0025773F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3"/>
          <w:lang w:eastAsia="fr-FR"/>
        </w:rPr>
      </w:pPr>
      <w:r w:rsidRPr="0025773F">
        <w:rPr>
          <w:rFonts w:ascii="Arial" w:eastAsia="Times New Roman" w:hAnsi="Arial" w:cs="Arial"/>
          <w:b/>
          <w:color w:val="002060"/>
          <w:sz w:val="24"/>
          <w:szCs w:val="23"/>
          <w:lang w:eastAsia="fr-FR"/>
        </w:rPr>
        <w:t>DOPEZ VOS RECHERCHES AVEC UNE CIFRE</w:t>
      </w:r>
      <w:r>
        <w:rPr>
          <w:rFonts w:ascii="Arial" w:eastAsia="Times New Roman" w:hAnsi="Arial" w:cs="Arial"/>
          <w:b/>
          <w:color w:val="002060"/>
          <w:sz w:val="24"/>
          <w:szCs w:val="23"/>
          <w:lang w:eastAsia="fr-FR"/>
        </w:rPr>
        <w:t> !</w:t>
      </w:r>
    </w:p>
    <w:p w:rsidR="0025773F" w:rsidRDefault="0025773F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73F" w:rsidRDefault="0025773F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t>T</w:t>
      </w:r>
      <w:r w:rsidR="00A3235A">
        <w:t>c</w:t>
      </w:r>
      <w:r>
        <w:t>out</w:t>
      </w:r>
      <w:r>
        <w:t xml:space="preserve"> savoir sur la procédure </w:t>
      </w:r>
      <w:r>
        <w:t>CIFRE</w:t>
      </w:r>
      <w:r>
        <w:t xml:space="preserve"> </w:t>
      </w:r>
      <w:r>
        <w:t xml:space="preserve">à l’Institut Pasteur </w:t>
      </w:r>
      <w:r>
        <w:t>: le principe, les conditio</w:t>
      </w:r>
      <w:r>
        <w:t>ns d'attribution, l'instruction…</w:t>
      </w:r>
    </w:p>
    <w:p w:rsidR="0025773F" w:rsidRDefault="0025773F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73F" w:rsidRDefault="0025773F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73F" w:rsidRDefault="0025773F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5DE4" w:rsidRPr="00B035C3" w:rsidRDefault="00010D25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5C3">
        <w:rPr>
          <w:rFonts w:ascii="Times New Roman" w:hAnsi="Times New Roman" w:cs="Times New Roman"/>
        </w:rPr>
        <w:t xml:space="preserve">Le </w:t>
      </w:r>
      <w:r w:rsidR="00535842">
        <w:rPr>
          <w:rFonts w:ascii="Times New Roman" w:hAnsi="Times New Roman" w:cs="Times New Roman"/>
        </w:rPr>
        <w:t xml:space="preserve">dispositif des </w:t>
      </w:r>
      <w:r w:rsidR="000E3B93">
        <w:rPr>
          <w:rFonts w:ascii="Times New Roman" w:hAnsi="Times New Roman" w:cs="Times New Roman"/>
        </w:rPr>
        <w:t>conventions industrielles de formation par la recherche (</w:t>
      </w:r>
      <w:r w:rsidRPr="00B035C3">
        <w:rPr>
          <w:rFonts w:ascii="Times New Roman" w:hAnsi="Times New Roman" w:cs="Times New Roman"/>
        </w:rPr>
        <w:t>CIFRE</w:t>
      </w:r>
      <w:r w:rsidR="000E3B93">
        <w:rPr>
          <w:rFonts w:ascii="Times New Roman" w:hAnsi="Times New Roman" w:cs="Times New Roman"/>
        </w:rPr>
        <w:t>)</w:t>
      </w:r>
      <w:r w:rsidRPr="00B035C3">
        <w:rPr>
          <w:rFonts w:ascii="Times New Roman" w:hAnsi="Times New Roman" w:cs="Times New Roman"/>
        </w:rPr>
        <w:t xml:space="preserve"> a pour objet de</w:t>
      </w:r>
      <w:r w:rsidR="006B5DE4" w:rsidRPr="00B035C3">
        <w:rPr>
          <w:rFonts w:ascii="Times New Roman" w:hAnsi="Times New Roman" w:cs="Times New Roman"/>
        </w:rPr>
        <w:t xml:space="preserve"> </w:t>
      </w:r>
      <w:r w:rsidR="006B5DE4" w:rsidRPr="00B042F2">
        <w:rPr>
          <w:rFonts w:ascii="Times New Roman" w:hAnsi="Times New Roman" w:cs="Times New Roman"/>
          <w:u w:val="single"/>
        </w:rPr>
        <w:t xml:space="preserve">cofinancer la formation d’un doctorant recruté par une </w:t>
      </w:r>
      <w:r w:rsidR="009768D2">
        <w:rPr>
          <w:rFonts w:ascii="Times New Roman" w:hAnsi="Times New Roman" w:cs="Times New Roman"/>
          <w:u w:val="single"/>
        </w:rPr>
        <w:t xml:space="preserve">entreprise </w:t>
      </w:r>
      <w:r w:rsidR="006B5DE4" w:rsidRPr="00B035C3">
        <w:rPr>
          <w:rFonts w:ascii="Times New Roman" w:hAnsi="Times New Roman" w:cs="Times New Roman"/>
        </w:rPr>
        <w:t>pour lui con</w:t>
      </w:r>
      <w:r w:rsidR="000D42AC" w:rsidRPr="00B035C3">
        <w:rPr>
          <w:rFonts w:ascii="Times New Roman" w:hAnsi="Times New Roman" w:cs="Times New Roman"/>
        </w:rPr>
        <w:t xml:space="preserve">fier une </w:t>
      </w:r>
      <w:r w:rsidR="000D42AC" w:rsidRPr="00B042F2">
        <w:rPr>
          <w:rFonts w:ascii="Times New Roman" w:hAnsi="Times New Roman" w:cs="Times New Roman"/>
          <w:u w:val="single"/>
        </w:rPr>
        <w:t>mission de recherche s</w:t>
      </w:r>
      <w:r w:rsidR="006B5DE4" w:rsidRPr="00B042F2">
        <w:rPr>
          <w:rFonts w:ascii="Times New Roman" w:hAnsi="Times New Roman" w:cs="Times New Roman"/>
          <w:u w:val="single"/>
        </w:rPr>
        <w:t xml:space="preserve">’inscrivant dans sa stratégie de </w:t>
      </w:r>
      <w:r w:rsidR="009768D2">
        <w:rPr>
          <w:rFonts w:ascii="Times New Roman" w:hAnsi="Times New Roman" w:cs="Times New Roman"/>
          <w:u w:val="single"/>
        </w:rPr>
        <w:t>R&amp;D</w:t>
      </w:r>
      <w:r w:rsidR="009768D2" w:rsidRPr="009768D2">
        <w:rPr>
          <w:rFonts w:ascii="Times New Roman" w:hAnsi="Times New Roman" w:cs="Times New Roman"/>
        </w:rPr>
        <w:t xml:space="preserve">  </w:t>
      </w:r>
      <w:r w:rsidR="00A14CBA">
        <w:rPr>
          <w:rFonts w:ascii="Times New Roman" w:hAnsi="Times New Roman" w:cs="Times New Roman"/>
        </w:rPr>
        <w:t>qui servira</w:t>
      </w:r>
      <w:r w:rsidR="006B5DE4" w:rsidRPr="00B035C3">
        <w:rPr>
          <w:rFonts w:ascii="Times New Roman" w:hAnsi="Times New Roman" w:cs="Times New Roman"/>
        </w:rPr>
        <w:t xml:space="preserve"> de </w:t>
      </w:r>
      <w:r w:rsidR="006B5DE4" w:rsidRPr="00B042F2">
        <w:rPr>
          <w:rFonts w:ascii="Times New Roman" w:hAnsi="Times New Roman" w:cs="Times New Roman"/>
          <w:u w:val="single"/>
        </w:rPr>
        <w:t>support pour la préparation de la</w:t>
      </w:r>
      <w:r w:rsidRPr="00B042F2">
        <w:rPr>
          <w:rFonts w:ascii="Times New Roman" w:hAnsi="Times New Roman" w:cs="Times New Roman"/>
          <w:u w:val="single"/>
        </w:rPr>
        <w:t xml:space="preserve"> thèse du</w:t>
      </w:r>
      <w:r w:rsidR="006B5DE4" w:rsidRPr="00B042F2">
        <w:rPr>
          <w:rFonts w:ascii="Times New Roman" w:hAnsi="Times New Roman" w:cs="Times New Roman"/>
          <w:u w:val="single"/>
        </w:rPr>
        <w:t xml:space="preserve"> doctorant</w:t>
      </w:r>
      <w:r w:rsidR="006B5DE4" w:rsidRPr="00B035C3">
        <w:rPr>
          <w:rFonts w:ascii="Times New Roman" w:hAnsi="Times New Roman" w:cs="Times New Roman"/>
        </w:rPr>
        <w:t>, en conformité à l’</w:t>
      </w:r>
      <w:hyperlink r:id="rId8" w:history="1">
        <w:r w:rsidR="006B5DE4" w:rsidRPr="00B035C3">
          <w:rPr>
            <w:rStyle w:val="Lienhypertexte"/>
            <w:rFonts w:ascii="Times New Roman" w:hAnsi="Times New Roman" w:cs="Times New Roman"/>
          </w:rPr>
          <w:t>arrêté du 7 août 2006 relatif à la formation doctorale</w:t>
        </w:r>
      </w:hyperlink>
      <w:r w:rsidR="006B5DE4" w:rsidRPr="00B035C3">
        <w:rPr>
          <w:rFonts w:ascii="Times New Roman" w:hAnsi="Times New Roman" w:cs="Times New Roman"/>
        </w:rPr>
        <w:t xml:space="preserve">. </w:t>
      </w:r>
    </w:p>
    <w:p w:rsidR="006B5DE4" w:rsidRPr="00B035C3" w:rsidRDefault="006B5DE4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5DE4" w:rsidRPr="00B035C3" w:rsidRDefault="00697447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  <w:r w:rsidR="000D42AC" w:rsidRPr="00B035C3">
        <w:rPr>
          <w:rFonts w:ascii="Times New Roman" w:hAnsi="Times New Roman" w:cs="Times New Roman"/>
        </w:rPr>
        <w:t xml:space="preserve"> mission</w:t>
      </w:r>
      <w:r w:rsidR="009B006A" w:rsidRPr="00B035C3">
        <w:rPr>
          <w:rFonts w:ascii="Times New Roman" w:hAnsi="Times New Roman" w:cs="Times New Roman"/>
        </w:rPr>
        <w:t xml:space="preserve"> de recherche</w:t>
      </w:r>
      <w:r w:rsidR="000D42AC" w:rsidRPr="00B035C3">
        <w:rPr>
          <w:rFonts w:ascii="Times New Roman" w:hAnsi="Times New Roman" w:cs="Times New Roman"/>
        </w:rPr>
        <w:t xml:space="preserve"> confiée au doctorant s’inscrit dans le cadre d’une </w:t>
      </w:r>
      <w:r w:rsidR="000D42AC" w:rsidRPr="00B042F2">
        <w:rPr>
          <w:rFonts w:ascii="Times New Roman" w:hAnsi="Times New Roman" w:cs="Times New Roman"/>
          <w:u w:val="single"/>
        </w:rPr>
        <w:t>collaboration avec un laboratoire de recherche extérieur à l’</w:t>
      </w:r>
      <w:r w:rsidR="009B006A" w:rsidRPr="00B042F2">
        <w:rPr>
          <w:rFonts w:ascii="Times New Roman" w:hAnsi="Times New Roman" w:cs="Times New Roman"/>
          <w:u w:val="single"/>
        </w:rPr>
        <w:t xml:space="preserve">employeur et </w:t>
      </w:r>
      <w:r w:rsidR="000D42AC" w:rsidRPr="00B042F2">
        <w:rPr>
          <w:rFonts w:ascii="Times New Roman" w:hAnsi="Times New Roman" w:cs="Times New Roman"/>
          <w:u w:val="single"/>
        </w:rPr>
        <w:t>chargé de l’encadrement scientifique du doctorant</w:t>
      </w:r>
      <w:r w:rsidR="000D42AC" w:rsidRPr="00B035C3">
        <w:rPr>
          <w:rFonts w:ascii="Times New Roman" w:hAnsi="Times New Roman" w:cs="Times New Roman"/>
        </w:rPr>
        <w:t xml:space="preserve">. </w:t>
      </w:r>
    </w:p>
    <w:p w:rsidR="00D06369" w:rsidRDefault="00D06369" w:rsidP="00D063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6369" w:rsidRDefault="00D06369" w:rsidP="00D063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5C3">
        <w:rPr>
          <w:rFonts w:ascii="Times New Roman" w:hAnsi="Times New Roman" w:cs="Times New Roman"/>
        </w:rPr>
        <w:t xml:space="preserve">Chaque CIFRE est signée pour une </w:t>
      </w:r>
      <w:r w:rsidRPr="00B042F2">
        <w:rPr>
          <w:rFonts w:ascii="Times New Roman" w:hAnsi="Times New Roman" w:cs="Times New Roman"/>
          <w:u w:val="single"/>
        </w:rPr>
        <w:t>durée maximale de 36 mois</w:t>
      </w:r>
      <w:r w:rsidRPr="00B042F2">
        <w:rPr>
          <w:rFonts w:ascii="Times New Roman" w:hAnsi="Times New Roman" w:cs="Times New Roman"/>
        </w:rPr>
        <w:t>.</w:t>
      </w:r>
      <w:r w:rsidRPr="00B035C3">
        <w:rPr>
          <w:rFonts w:ascii="Times New Roman" w:hAnsi="Times New Roman" w:cs="Times New Roman"/>
        </w:rPr>
        <w:t xml:space="preserve"> </w:t>
      </w:r>
    </w:p>
    <w:p w:rsidR="00DC1B6D" w:rsidRDefault="00DC1B6D" w:rsidP="00D063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1B6D" w:rsidRPr="00B035C3" w:rsidRDefault="00DC1B6D" w:rsidP="00D063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contrat CIFRE est un contrat de collaboration  avec un sujet scientifique précis, l’étudiant reste le salarié de l’industriel qui  </w:t>
      </w:r>
      <w:r w:rsidR="004903B5">
        <w:rPr>
          <w:rFonts w:ascii="Times New Roman" w:hAnsi="Times New Roman" w:cs="Times New Roman"/>
        </w:rPr>
        <w:t xml:space="preserve">continue à </w:t>
      </w:r>
      <w:r>
        <w:rPr>
          <w:rFonts w:ascii="Times New Roman" w:hAnsi="Times New Roman" w:cs="Times New Roman"/>
        </w:rPr>
        <w:t>lui verse</w:t>
      </w:r>
      <w:r w:rsidR="004903B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 son salaire dans sa totalité.</w:t>
      </w:r>
    </w:p>
    <w:p w:rsidR="00697447" w:rsidRDefault="00697447" w:rsidP="005E5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3B5" w:rsidRPr="005D5E75" w:rsidRDefault="004903B5" w:rsidP="004903B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5D5E75">
        <w:rPr>
          <w:rFonts w:ascii="Times New Roman" w:eastAsia="Times New Roman" w:hAnsi="Times New Roman" w:cs="Times New Roman"/>
          <w:lang w:eastAsia="fr-FR"/>
        </w:rPr>
        <w:t xml:space="preserve">Le doctorant partage son temps entre l'entreprise et le laboratoire selon un planning prévu dans un contrat de collaboration signé par les représentants légaux de l’entreprise et du laboratoire de </w:t>
      </w:r>
      <w:r w:rsidR="00FF4588" w:rsidRPr="00B23243">
        <w:rPr>
          <w:rFonts w:ascii="Times New Roman" w:eastAsia="Times New Roman" w:hAnsi="Times New Roman" w:cs="Times New Roman"/>
          <w:lang w:eastAsia="fr-FR"/>
        </w:rPr>
        <w:t>recherche.</w:t>
      </w:r>
    </w:p>
    <w:p w:rsidR="004903B5" w:rsidRPr="005D5E75" w:rsidRDefault="004903B5" w:rsidP="004903B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4903B5" w:rsidRDefault="004903B5" w:rsidP="004903B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D01902" w:rsidRDefault="00D01902" w:rsidP="004903B5">
      <w:pPr>
        <w:spacing w:after="0" w:line="240" w:lineRule="auto"/>
        <w:rPr>
          <w:noProof/>
          <w:lang w:eastAsia="fr-FR"/>
        </w:rPr>
      </w:pPr>
      <w:r w:rsidRPr="00D01902">
        <w:rPr>
          <w:b/>
          <w:noProof/>
          <w:color w:val="002060"/>
          <w:sz w:val="28"/>
          <w:lang w:eastAsia="fr-FR"/>
        </w:rPr>
        <w:t>LE DISPOSITIF CIFRE :</w:t>
      </w:r>
    </w:p>
    <w:p w:rsidR="00D01902" w:rsidRDefault="00D01902" w:rsidP="004903B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D01902" w:rsidRDefault="00D01902" w:rsidP="00D01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D01902">
        <w:rPr>
          <w:rFonts w:ascii="Times New Roman" w:eastAsia="Times New Roman" w:hAnsi="Times New Roman" w:cs="Times New Roman"/>
          <w:sz w:val="30"/>
          <w:szCs w:val="30"/>
          <w:lang w:eastAsia="fr-FR"/>
        </w:rPr>
        <w:drawing>
          <wp:inline distT="0" distB="0" distL="0" distR="0" wp14:anchorId="2811A2F5" wp14:editId="47A56B24">
            <wp:extent cx="5713029" cy="4248150"/>
            <wp:effectExtent l="0" t="0" r="2540" b="0"/>
            <wp:docPr id="4" name="Espace réservé du conten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ce réservé du contenu 3"/>
                    <pic:cNvPicPr>
                      <a:picLocks noGrp="1" noChangeAspect="1"/>
                    </pic:cNvPicPr>
                  </pic:nvPicPr>
                  <pic:blipFill rotWithShape="1">
                    <a:blip r:embed="rId9"/>
                    <a:srcRect l="30079" t="24979" r="31504" b="24237"/>
                    <a:stretch/>
                  </pic:blipFill>
                  <pic:spPr>
                    <a:xfrm>
                      <a:off x="0" y="0"/>
                      <a:ext cx="5726119" cy="425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B5" w:rsidRDefault="004903B5" w:rsidP="004903B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4903B5" w:rsidRDefault="004903B5" w:rsidP="004903B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4903B5" w:rsidRPr="00CF2CC5" w:rsidRDefault="004903B5" w:rsidP="005E5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37B" w:rsidRPr="006574A4" w:rsidRDefault="00BF6D3D" w:rsidP="009B520C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I. </w:t>
      </w:r>
      <w:r w:rsidR="00FE537B" w:rsidRPr="006574A4">
        <w:rPr>
          <w:rFonts w:ascii="Times New Roman" w:hAnsi="Times New Roman" w:cs="Times New Roman"/>
          <w:b/>
          <w:u w:val="single"/>
        </w:rPr>
        <w:t xml:space="preserve">Objectifs </w:t>
      </w:r>
    </w:p>
    <w:p w:rsidR="00FE537B" w:rsidRPr="00CF2CC5" w:rsidRDefault="00FE537B" w:rsidP="00FE5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537B" w:rsidRDefault="00FE537B" w:rsidP="00FE53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B035C3">
        <w:rPr>
          <w:rFonts w:ascii="Times New Roman" w:hAnsi="Times New Roman" w:cs="Times New Roman"/>
        </w:rPr>
        <w:t xml:space="preserve">is en place </w:t>
      </w:r>
      <w:r>
        <w:rPr>
          <w:rFonts w:ascii="Times New Roman" w:hAnsi="Times New Roman" w:cs="Times New Roman"/>
        </w:rPr>
        <w:t xml:space="preserve">en 1981 </w:t>
      </w:r>
      <w:r w:rsidRPr="00B035C3">
        <w:rPr>
          <w:rFonts w:ascii="Times New Roman" w:hAnsi="Times New Roman" w:cs="Times New Roman"/>
        </w:rPr>
        <w:t xml:space="preserve">par le ministère </w:t>
      </w:r>
      <w:r>
        <w:rPr>
          <w:rFonts w:ascii="Times New Roman" w:hAnsi="Times New Roman" w:cs="Times New Roman"/>
        </w:rPr>
        <w:t>de l</w:t>
      </w:r>
      <w:r w:rsidR="00E869AD">
        <w:rPr>
          <w:rFonts w:ascii="Times New Roman" w:hAnsi="Times New Roman" w:cs="Times New Roman"/>
        </w:rPr>
        <w:t>a Recherche et de l</w:t>
      </w:r>
      <w:r>
        <w:rPr>
          <w:rFonts w:ascii="Times New Roman" w:hAnsi="Times New Roman" w:cs="Times New Roman"/>
        </w:rPr>
        <w:t xml:space="preserve">’Enseignement supérieur, </w:t>
      </w:r>
      <w:r w:rsidR="00001E5A">
        <w:rPr>
          <w:rFonts w:ascii="Times New Roman" w:hAnsi="Times New Roman" w:cs="Times New Roman"/>
        </w:rPr>
        <w:t>le dispositif des CIFRE</w:t>
      </w:r>
      <w:r w:rsidRPr="00B035C3">
        <w:rPr>
          <w:rFonts w:ascii="Times New Roman" w:hAnsi="Times New Roman" w:cs="Times New Roman"/>
        </w:rPr>
        <w:t xml:space="preserve"> </w:t>
      </w:r>
      <w:r w:rsidR="00001E5A">
        <w:rPr>
          <w:rFonts w:ascii="Times New Roman" w:hAnsi="Times New Roman" w:cs="Times New Roman"/>
        </w:rPr>
        <w:t>poursuit</w:t>
      </w:r>
      <w:r w:rsidRPr="00B035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deux</w:t>
      </w:r>
      <w:r w:rsidRPr="00B035C3">
        <w:rPr>
          <w:rFonts w:ascii="Times New Roman" w:hAnsi="Times New Roman" w:cs="Times New Roman"/>
        </w:rPr>
        <w:t xml:space="preserve"> objectifs : </w:t>
      </w:r>
    </w:p>
    <w:p w:rsidR="00D01902" w:rsidRPr="00B035C3" w:rsidRDefault="00D01902" w:rsidP="00FE5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537B" w:rsidRPr="008527AE" w:rsidRDefault="00FE537B" w:rsidP="00FE53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7AE">
        <w:rPr>
          <w:rFonts w:ascii="Times New Roman" w:hAnsi="Times New Roman" w:cs="Times New Roman"/>
        </w:rPr>
        <w:sym w:font="Wingdings" w:char="F0E0"/>
      </w:r>
      <w:r w:rsidRPr="008527AE">
        <w:rPr>
          <w:rFonts w:ascii="Times New Roman" w:hAnsi="Times New Roman" w:cs="Times New Roman"/>
        </w:rPr>
        <w:t xml:space="preserve"> développer les partenariats entre les laboratoires de recherche publique et </w:t>
      </w:r>
      <w:r>
        <w:rPr>
          <w:rFonts w:ascii="Times New Roman" w:hAnsi="Times New Roman" w:cs="Times New Roman"/>
        </w:rPr>
        <w:t xml:space="preserve">les </w:t>
      </w:r>
      <w:r w:rsidR="00001E5A">
        <w:rPr>
          <w:rFonts w:ascii="Times New Roman" w:hAnsi="Times New Roman" w:cs="Times New Roman"/>
        </w:rPr>
        <w:t>entreprises</w:t>
      </w:r>
      <w:r w:rsidRPr="008527AE">
        <w:rPr>
          <w:rFonts w:ascii="Times New Roman" w:hAnsi="Times New Roman" w:cs="Times New Roman"/>
        </w:rPr>
        <w:t xml:space="preserve"> ; </w:t>
      </w:r>
    </w:p>
    <w:p w:rsidR="00FE537B" w:rsidRPr="008527AE" w:rsidRDefault="00FE537B" w:rsidP="00FE53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7AE">
        <w:rPr>
          <w:rFonts w:ascii="Times New Roman" w:hAnsi="Times New Roman" w:cs="Times New Roman"/>
        </w:rPr>
        <w:sym w:font="Wingdings" w:char="F0E0"/>
      </w:r>
      <w:r w:rsidRPr="008527AE">
        <w:rPr>
          <w:rFonts w:ascii="Times New Roman" w:hAnsi="Times New Roman" w:cs="Times New Roman"/>
        </w:rPr>
        <w:t xml:space="preserve"> apporter aux doctorants une expérience professionnelle de recherche et favoriser leur recrutement par les </w:t>
      </w:r>
      <w:r w:rsidR="00001E5A">
        <w:rPr>
          <w:rFonts w:ascii="Times New Roman" w:hAnsi="Times New Roman" w:cs="Times New Roman"/>
        </w:rPr>
        <w:t>entreprises</w:t>
      </w:r>
      <w:r w:rsidRPr="008527AE">
        <w:rPr>
          <w:rFonts w:ascii="Times New Roman" w:hAnsi="Times New Roman" w:cs="Times New Roman"/>
        </w:rPr>
        <w:t>.</w:t>
      </w:r>
    </w:p>
    <w:p w:rsidR="00FE537B" w:rsidRPr="00B035C3" w:rsidRDefault="00FE537B" w:rsidP="00FE5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537B" w:rsidRPr="00B035C3" w:rsidRDefault="00016A08" w:rsidP="00FE53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ministère</w:t>
      </w:r>
      <w:r w:rsidR="00FE537B" w:rsidRPr="00B035C3">
        <w:rPr>
          <w:rFonts w:ascii="Times New Roman" w:hAnsi="Times New Roman" w:cs="Times New Roman"/>
        </w:rPr>
        <w:t xml:space="preserve"> fixe chaque année : </w:t>
      </w:r>
    </w:p>
    <w:p w:rsidR="00FE537B" w:rsidRPr="00B035C3" w:rsidRDefault="00FE537B" w:rsidP="00FE53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35C3">
        <w:rPr>
          <w:rFonts w:ascii="Times New Roman" w:hAnsi="Times New Roman" w:cs="Times New Roman"/>
        </w:rPr>
        <w:t xml:space="preserve">- les conditions financières, </w:t>
      </w:r>
    </w:p>
    <w:p w:rsidR="00FE537B" w:rsidRDefault="00FE537B" w:rsidP="00FE537B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035C3">
        <w:rPr>
          <w:rFonts w:ascii="Times New Roman" w:hAnsi="Times New Roman" w:cs="Times New Roman"/>
        </w:rPr>
        <w:t>- le montant de la subvention annuelle versée à l</w:t>
      </w:r>
      <w:r>
        <w:rPr>
          <w:rFonts w:ascii="Times New Roman" w:hAnsi="Times New Roman" w:cs="Times New Roman"/>
        </w:rPr>
        <w:t>’employeur (</w:t>
      </w:r>
      <w:r w:rsidRPr="0048664B">
        <w:rPr>
          <w:rFonts w:ascii="Times New Roman" w:hAnsi="Times New Roman" w:cs="Times New Roman"/>
          <w:b/>
        </w:rPr>
        <w:t>14.000 €/an</w:t>
      </w:r>
      <w:r>
        <w:rPr>
          <w:rFonts w:ascii="Times New Roman" w:hAnsi="Times New Roman" w:cs="Times New Roman"/>
        </w:rPr>
        <w:t xml:space="preserve"> non assujetti à la TVA), </w:t>
      </w:r>
    </w:p>
    <w:p w:rsidR="00FE537B" w:rsidRDefault="00FE537B" w:rsidP="00FE537B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2767">
        <w:rPr>
          <w:rFonts w:ascii="Times New Roman" w:hAnsi="Times New Roman" w:cs="Times New Roman"/>
        </w:rPr>
        <w:t>le montant du c</w:t>
      </w:r>
      <w:r>
        <w:rPr>
          <w:rFonts w:ascii="Times New Roman" w:hAnsi="Times New Roman" w:cs="Times New Roman"/>
        </w:rPr>
        <w:t>rédit d’</w:t>
      </w:r>
      <w:r w:rsidRPr="00412767">
        <w:rPr>
          <w:rFonts w:ascii="Times New Roman" w:hAnsi="Times New Roman" w:cs="Times New Roman"/>
        </w:rPr>
        <w:t>impôt recherche (CIR) si l’employeur y est éligible (</w:t>
      </w:r>
      <w:r w:rsidRPr="0048664B">
        <w:rPr>
          <w:rFonts w:ascii="Times New Roman" w:hAnsi="Times New Roman" w:cs="Times New Roman"/>
          <w:b/>
        </w:rPr>
        <w:t>10.595 €/an</w:t>
      </w:r>
      <w:r w:rsidRPr="00412767">
        <w:rPr>
          <w:rFonts w:ascii="Times New Roman" w:hAnsi="Times New Roman" w:cs="Times New Roman"/>
        </w:rPr>
        <w:t>),</w:t>
      </w:r>
    </w:p>
    <w:p w:rsidR="00FE537B" w:rsidRPr="00B035C3" w:rsidRDefault="00FE537B" w:rsidP="00FE537B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le montant </w:t>
      </w:r>
      <w:r w:rsidRPr="00B035C3">
        <w:rPr>
          <w:rFonts w:ascii="Times New Roman" w:hAnsi="Times New Roman" w:cs="Times New Roman"/>
        </w:rPr>
        <w:t>du salaire minimum du doctorant</w:t>
      </w:r>
      <w:r>
        <w:rPr>
          <w:rFonts w:ascii="Times New Roman" w:hAnsi="Times New Roman" w:cs="Times New Roman"/>
        </w:rPr>
        <w:t xml:space="preserve"> (</w:t>
      </w:r>
      <w:r w:rsidRPr="0048664B">
        <w:rPr>
          <w:rFonts w:ascii="Times New Roman" w:hAnsi="Times New Roman" w:cs="Times New Roman"/>
          <w:b/>
        </w:rPr>
        <w:t>23.484 € brut/an</w:t>
      </w:r>
      <w:r>
        <w:rPr>
          <w:rFonts w:ascii="Times New Roman" w:hAnsi="Times New Roman" w:cs="Times New Roman"/>
        </w:rPr>
        <w:t>)</w:t>
      </w:r>
      <w:r w:rsidRPr="00B035C3">
        <w:rPr>
          <w:rFonts w:ascii="Times New Roman" w:hAnsi="Times New Roman" w:cs="Times New Roman"/>
        </w:rPr>
        <w:t xml:space="preserve">, </w:t>
      </w:r>
    </w:p>
    <w:p w:rsidR="00FE537B" w:rsidRPr="00B035C3" w:rsidRDefault="00FE537B" w:rsidP="00FE53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35C3">
        <w:rPr>
          <w:rFonts w:ascii="Times New Roman" w:hAnsi="Times New Roman" w:cs="Times New Roman"/>
        </w:rPr>
        <w:t xml:space="preserve">- le nombre de nouvelles CIFRE au regard des crédits ouverts en loi de finances initiale. </w:t>
      </w:r>
    </w:p>
    <w:p w:rsidR="00001E5A" w:rsidRDefault="00001E5A" w:rsidP="00001E5A">
      <w:pPr>
        <w:spacing w:after="0" w:line="240" w:lineRule="auto"/>
        <w:rPr>
          <w:rFonts w:ascii="Times New Roman" w:hAnsi="Times New Roman" w:cs="Times New Roman"/>
        </w:rPr>
      </w:pPr>
    </w:p>
    <w:p w:rsidR="00FF4588" w:rsidRPr="00D01902" w:rsidRDefault="00001E5A" w:rsidP="00697409">
      <w:pPr>
        <w:pStyle w:val="Paragraphedeliste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D01902">
        <w:rPr>
          <w:rFonts w:ascii="Times New Roman" w:hAnsi="Times New Roman" w:cs="Times New Roman"/>
        </w:rPr>
        <w:t xml:space="preserve"> </w:t>
      </w:r>
      <w:r w:rsidR="00FF4588" w:rsidRPr="00D01902">
        <w:rPr>
          <w:rFonts w:ascii="Times New Roman" w:hAnsi="Times New Roman" w:cs="Times New Roman"/>
        </w:rPr>
        <w:t>1</w:t>
      </w:r>
      <w:r w:rsidR="00D01902" w:rsidRPr="00D01902">
        <w:rPr>
          <w:rFonts w:ascii="Times New Roman" w:hAnsi="Times New Roman" w:cs="Times New Roman"/>
        </w:rPr>
        <w:t> </w:t>
      </w:r>
      <w:r w:rsidR="00E07A6B" w:rsidRPr="00D01902">
        <w:rPr>
          <w:rFonts w:ascii="Times New Roman" w:hAnsi="Times New Roman" w:cs="Times New Roman"/>
        </w:rPr>
        <w:t>450</w:t>
      </w:r>
      <w:r w:rsidR="00D01902" w:rsidRPr="00D01902">
        <w:rPr>
          <w:rFonts w:ascii="Times New Roman" w:hAnsi="Times New Roman" w:cs="Times New Roman"/>
        </w:rPr>
        <w:t xml:space="preserve"> </w:t>
      </w:r>
      <w:r w:rsidR="00E95974" w:rsidRPr="00D01902">
        <w:rPr>
          <w:rFonts w:ascii="Times New Roman" w:hAnsi="Times New Roman" w:cs="Times New Roman"/>
        </w:rPr>
        <w:t>CIFRES</w:t>
      </w:r>
      <w:r w:rsidR="00FF4588" w:rsidRPr="00D01902">
        <w:rPr>
          <w:rFonts w:ascii="Times New Roman" w:hAnsi="Times New Roman" w:cs="Times New Roman"/>
        </w:rPr>
        <w:t xml:space="preserve"> </w:t>
      </w:r>
      <w:r w:rsidR="00E07A6B" w:rsidRPr="00D01902">
        <w:rPr>
          <w:rFonts w:ascii="Times New Roman" w:hAnsi="Times New Roman" w:cs="Times New Roman"/>
        </w:rPr>
        <w:t>attribuées par an</w:t>
      </w:r>
    </w:p>
    <w:p w:rsidR="00E07A6B" w:rsidRPr="00E07A6B" w:rsidRDefault="00D01902" w:rsidP="003440C9">
      <w:pPr>
        <w:pStyle w:val="Paragraphedeliste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18% Ruptures technologiques 66% </w:t>
      </w:r>
      <w:r w:rsidR="00E07A6B" w:rsidRPr="00E07A6B">
        <w:rPr>
          <w:rFonts w:ascii="Times New Roman" w:hAnsi="Times New Roman" w:cs="Times New Roman"/>
        </w:rPr>
        <w:t>Unités Mixtes de Recherche</w:t>
      </w:r>
    </w:p>
    <w:p w:rsidR="00D01902" w:rsidRDefault="00E07A6B" w:rsidP="00A337AB">
      <w:pPr>
        <w:pStyle w:val="Paragraphedeliste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D01902">
        <w:rPr>
          <w:rFonts w:ascii="Times New Roman" w:hAnsi="Times New Roman" w:cs="Times New Roman"/>
        </w:rPr>
        <w:t>54%</w:t>
      </w:r>
      <w:r w:rsidR="00D01902" w:rsidRPr="00D01902">
        <w:rPr>
          <w:rFonts w:ascii="Times New Roman" w:hAnsi="Times New Roman" w:cs="Times New Roman"/>
        </w:rPr>
        <w:t xml:space="preserve"> </w:t>
      </w:r>
      <w:r w:rsidRPr="00D01902">
        <w:rPr>
          <w:rFonts w:ascii="Times New Roman" w:hAnsi="Times New Roman" w:cs="Times New Roman"/>
        </w:rPr>
        <w:t>Nouveaux sujets de recherche</w:t>
      </w:r>
      <w:r w:rsidR="00D01902" w:rsidRPr="00D01902">
        <w:rPr>
          <w:rFonts w:ascii="Times New Roman" w:hAnsi="Times New Roman" w:cs="Times New Roman"/>
        </w:rPr>
        <w:t xml:space="preserve"> </w:t>
      </w:r>
    </w:p>
    <w:p w:rsidR="00FF4588" w:rsidRPr="00D01902" w:rsidRDefault="00E07A6B" w:rsidP="00A337AB">
      <w:pPr>
        <w:pStyle w:val="Paragraphedeliste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D01902">
        <w:rPr>
          <w:rFonts w:ascii="Times New Roman" w:hAnsi="Times New Roman" w:cs="Times New Roman"/>
        </w:rPr>
        <w:t>90% d’emploi</w:t>
      </w:r>
      <w:r w:rsidR="00D01902">
        <w:rPr>
          <w:rFonts w:ascii="Times New Roman" w:hAnsi="Times New Roman" w:cs="Times New Roman"/>
        </w:rPr>
        <w:t>s</w:t>
      </w:r>
      <w:r w:rsidRPr="00D01902">
        <w:rPr>
          <w:rFonts w:ascii="Times New Roman" w:hAnsi="Times New Roman" w:cs="Times New Roman"/>
        </w:rPr>
        <w:t xml:space="preserve"> 6 mois après la fin de la CIFRE</w:t>
      </w:r>
    </w:p>
    <w:p w:rsidR="00FE537B" w:rsidRPr="00CF2CC5" w:rsidRDefault="00FE537B" w:rsidP="005E56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0696" w:rsidRPr="005E56C7" w:rsidRDefault="00BF6D3D" w:rsidP="009B520C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II. </w:t>
      </w:r>
      <w:r w:rsidR="000C0696" w:rsidRPr="005E56C7">
        <w:rPr>
          <w:rFonts w:ascii="Times New Roman" w:hAnsi="Times New Roman" w:cs="Times New Roman"/>
          <w:b/>
          <w:u w:val="single"/>
        </w:rPr>
        <w:t xml:space="preserve">Conditions </w:t>
      </w:r>
      <w:r w:rsidR="0025773F">
        <w:rPr>
          <w:rFonts w:ascii="Times New Roman" w:hAnsi="Times New Roman" w:cs="Times New Roman"/>
          <w:b/>
          <w:u w:val="single"/>
        </w:rPr>
        <w:t>d’attribution</w:t>
      </w:r>
      <w:r w:rsidR="000C0696" w:rsidRPr="005E56C7">
        <w:rPr>
          <w:rFonts w:ascii="Times New Roman" w:hAnsi="Times New Roman" w:cs="Times New Roman"/>
          <w:b/>
          <w:u w:val="single"/>
        </w:rPr>
        <w:t xml:space="preserve"> </w:t>
      </w:r>
    </w:p>
    <w:p w:rsidR="00E8224A" w:rsidRPr="00CF2CC5" w:rsidRDefault="00E8224A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3A6C" w:rsidRPr="00B035C3" w:rsidRDefault="003C3A6C" w:rsidP="003C3A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05D2">
        <w:rPr>
          <w:rFonts w:ascii="Times New Roman" w:hAnsi="Times New Roman" w:cs="Times New Roman"/>
        </w:rPr>
        <w:t>L’Association nationale de la recherche et de la technologie (ANRT)</w:t>
      </w:r>
      <w:r w:rsidRPr="00DB05D2">
        <w:rPr>
          <w:rFonts w:ascii="Times New Roman" w:hAnsi="Times New Roman" w:cs="Times New Roman"/>
          <w:b/>
        </w:rPr>
        <w:t xml:space="preserve"> </w:t>
      </w:r>
      <w:r w:rsidRPr="00B035C3">
        <w:rPr>
          <w:rFonts w:ascii="Times New Roman" w:hAnsi="Times New Roman" w:cs="Times New Roman"/>
        </w:rPr>
        <w:t xml:space="preserve">a reçu délégation par le ministère chargé de la recherche pour animer et gérer les CIFRE. </w:t>
      </w:r>
      <w:r w:rsidRPr="00DB05D2">
        <w:rPr>
          <w:rFonts w:ascii="Times New Roman" w:hAnsi="Times New Roman" w:cs="Times New Roman"/>
          <w:u w:val="single"/>
        </w:rPr>
        <w:t>L’ANRT peut vérifier, à tout moment du déroulement de la procédure, que les conditions d’octroi de la CIFRE sont bien respectées</w:t>
      </w:r>
      <w:r w:rsidRPr="00B035C3">
        <w:rPr>
          <w:rFonts w:ascii="Times New Roman" w:hAnsi="Times New Roman" w:cs="Times New Roman"/>
        </w:rPr>
        <w:t xml:space="preserve">.  </w:t>
      </w:r>
    </w:p>
    <w:p w:rsidR="003C3A6C" w:rsidRDefault="003C3A6C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6C7" w:rsidRPr="00016A08" w:rsidRDefault="00016A08" w:rsidP="005E56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</w:t>
      </w:r>
      <w:r w:rsidR="00E8224A" w:rsidRPr="00B035C3">
        <w:rPr>
          <w:rFonts w:ascii="Times New Roman" w:hAnsi="Times New Roman" w:cs="Times New Roman"/>
        </w:rPr>
        <w:t xml:space="preserve"> conditions</w:t>
      </w:r>
      <w:r>
        <w:rPr>
          <w:rFonts w:ascii="Times New Roman" w:hAnsi="Times New Roman" w:cs="Times New Roman"/>
        </w:rPr>
        <w:t xml:space="preserve"> ci-après</w:t>
      </w:r>
      <w:r w:rsidR="00E8224A" w:rsidRPr="00B035C3">
        <w:rPr>
          <w:rFonts w:ascii="Times New Roman" w:hAnsi="Times New Roman" w:cs="Times New Roman"/>
        </w:rPr>
        <w:t xml:space="preserve"> s’appliquent de plein droit, sous réserve des dispositions particulières stipulées </w:t>
      </w:r>
      <w:r w:rsidR="00F82568">
        <w:rPr>
          <w:rFonts w:ascii="Times New Roman" w:hAnsi="Times New Roman" w:cs="Times New Roman"/>
        </w:rPr>
        <w:t>par la</w:t>
      </w:r>
      <w:r w:rsidR="00E8224A" w:rsidRPr="00B035C3">
        <w:rPr>
          <w:rFonts w:ascii="Times New Roman" w:hAnsi="Times New Roman" w:cs="Times New Roman"/>
        </w:rPr>
        <w:t xml:space="preserve"> CIFRE. </w:t>
      </w:r>
    </w:p>
    <w:p w:rsidR="00697447" w:rsidRPr="00CF2CC5" w:rsidRDefault="00697447" w:rsidP="005E56C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91A74" w:rsidRPr="00216E9B" w:rsidRDefault="00B91A74" w:rsidP="00BF6D3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16E9B">
        <w:rPr>
          <w:rFonts w:ascii="Times New Roman" w:hAnsi="Times New Roman" w:cs="Times New Roman"/>
          <w:b/>
          <w:u w:val="single"/>
        </w:rPr>
        <w:t>Conditions liées au candidat</w:t>
      </w:r>
    </w:p>
    <w:p w:rsidR="00F975C8" w:rsidRDefault="00F975C8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39A0" w:rsidRDefault="001A39A0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aucune condition de nationalité ni d’âge. </w:t>
      </w:r>
    </w:p>
    <w:p w:rsidR="001A39A0" w:rsidRPr="00CF2CC5" w:rsidRDefault="001A39A0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0C9C" w:rsidRPr="00216E9B" w:rsidRDefault="00216E9B" w:rsidP="00130C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30C9C">
        <w:rPr>
          <w:rFonts w:ascii="Times New Roman" w:hAnsi="Times New Roman" w:cs="Times New Roman"/>
        </w:rPr>
        <w:t xml:space="preserve"> </w:t>
      </w:r>
      <w:r w:rsidR="007D2D87">
        <w:rPr>
          <w:rFonts w:ascii="Times New Roman" w:hAnsi="Times New Roman" w:cs="Times New Roman"/>
        </w:rPr>
        <w:t>être</w:t>
      </w:r>
      <w:r w:rsidR="00130C9C">
        <w:rPr>
          <w:rFonts w:ascii="Times New Roman" w:hAnsi="Times New Roman" w:cs="Times New Roman"/>
        </w:rPr>
        <w:t xml:space="preserve"> </w:t>
      </w:r>
      <w:r w:rsidR="007D2D87" w:rsidRPr="00216E9B">
        <w:rPr>
          <w:rFonts w:ascii="Times New Roman" w:hAnsi="Times New Roman" w:cs="Times New Roman"/>
        </w:rPr>
        <w:t>titulaire d’</w:t>
      </w:r>
      <w:r w:rsidR="00130C9C" w:rsidRPr="00216E9B">
        <w:rPr>
          <w:rFonts w:ascii="Times New Roman" w:hAnsi="Times New Roman" w:cs="Times New Roman"/>
        </w:rPr>
        <w:t xml:space="preserve">un </w:t>
      </w:r>
      <w:r w:rsidR="007D2D87" w:rsidRPr="00216E9B">
        <w:rPr>
          <w:rFonts w:ascii="Times New Roman" w:hAnsi="Times New Roman" w:cs="Times New Roman"/>
        </w:rPr>
        <w:t xml:space="preserve">diplôme </w:t>
      </w:r>
      <w:r w:rsidR="008B6428" w:rsidRPr="00216E9B">
        <w:rPr>
          <w:rFonts w:ascii="Times New Roman" w:hAnsi="Times New Roman" w:cs="Times New Roman"/>
        </w:rPr>
        <w:t>de niveau master</w:t>
      </w:r>
      <w:r w:rsidR="00130C9C" w:rsidRPr="00216E9B">
        <w:rPr>
          <w:rFonts w:ascii="Times New Roman" w:hAnsi="Times New Roman" w:cs="Times New Roman"/>
        </w:rPr>
        <w:t xml:space="preserve"> à la date d’effet de la CIFRE.</w:t>
      </w:r>
    </w:p>
    <w:p w:rsidR="00B347E6" w:rsidRDefault="00B347E6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0696" w:rsidRDefault="00216E9B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ne pas être ou avoir été employé </w:t>
      </w:r>
      <w:r w:rsidRPr="00216E9B">
        <w:rPr>
          <w:rFonts w:ascii="Times New Roman" w:hAnsi="Times New Roman" w:cs="Times New Roman"/>
        </w:rPr>
        <w:t xml:space="preserve">par l’entreprise </w:t>
      </w:r>
      <w:r w:rsidR="00F975C8" w:rsidRPr="00216E9B">
        <w:rPr>
          <w:rFonts w:ascii="Times New Roman" w:hAnsi="Times New Roman" w:cs="Times New Roman"/>
        </w:rPr>
        <w:t xml:space="preserve">qui en sollicite le bénéfice, de manière continue ou discontinue, pendant </w:t>
      </w:r>
      <w:r w:rsidR="00B22C52" w:rsidRPr="00216E9B">
        <w:rPr>
          <w:rFonts w:ascii="Times New Roman" w:hAnsi="Times New Roman" w:cs="Times New Roman"/>
        </w:rPr>
        <w:t>plus</w:t>
      </w:r>
      <w:r w:rsidR="00F975C8" w:rsidRPr="00216E9B">
        <w:rPr>
          <w:rFonts w:ascii="Times New Roman" w:hAnsi="Times New Roman" w:cs="Times New Roman"/>
        </w:rPr>
        <w:t xml:space="preserve"> de 9 mois à</w:t>
      </w:r>
      <w:r w:rsidR="00F975C8">
        <w:rPr>
          <w:rFonts w:ascii="Times New Roman" w:hAnsi="Times New Roman" w:cs="Times New Roman"/>
        </w:rPr>
        <w:t xml:space="preserve"> la date de réception du dossier de candidature par l’ANRT. </w:t>
      </w:r>
    </w:p>
    <w:p w:rsidR="005E56C7" w:rsidRDefault="005E56C7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CBF" w:rsidRPr="00216E9B" w:rsidRDefault="00216E9B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63C9D" w:rsidRPr="003F3CBF">
        <w:rPr>
          <w:rFonts w:ascii="Times New Roman" w:hAnsi="Times New Roman" w:cs="Times New Roman"/>
        </w:rPr>
        <w:t xml:space="preserve"> être </w:t>
      </w:r>
      <w:r w:rsidR="00F63C9D" w:rsidRPr="00216E9B">
        <w:rPr>
          <w:rFonts w:ascii="Times New Roman" w:hAnsi="Times New Roman" w:cs="Times New Roman"/>
        </w:rPr>
        <w:t xml:space="preserve">inscrit </w:t>
      </w:r>
      <w:r w:rsidR="00410919" w:rsidRPr="00216E9B">
        <w:rPr>
          <w:rFonts w:ascii="Times New Roman" w:hAnsi="Times New Roman" w:cs="Times New Roman"/>
        </w:rPr>
        <w:t xml:space="preserve">depuis moins de 9 mois </w:t>
      </w:r>
      <w:r w:rsidR="003F3CBF" w:rsidRPr="00216E9B">
        <w:rPr>
          <w:rFonts w:ascii="Times New Roman" w:hAnsi="Times New Roman" w:cs="Times New Roman"/>
        </w:rPr>
        <w:t xml:space="preserve">au sein d’un établissement habilité à délivrer le diplôme de docteur, ou </w:t>
      </w:r>
      <w:r w:rsidR="00767956">
        <w:rPr>
          <w:rFonts w:ascii="Times New Roman" w:hAnsi="Times New Roman" w:cs="Times New Roman"/>
        </w:rPr>
        <w:t>d’</w:t>
      </w:r>
      <w:r w:rsidR="003F3CBF" w:rsidRPr="00216E9B">
        <w:rPr>
          <w:rFonts w:ascii="Times New Roman" w:hAnsi="Times New Roman" w:cs="Times New Roman"/>
        </w:rPr>
        <w:t xml:space="preserve">un diplôme équivalent </w:t>
      </w:r>
      <w:r w:rsidR="00767956">
        <w:rPr>
          <w:rFonts w:ascii="Times New Roman" w:hAnsi="Times New Roman" w:cs="Times New Roman"/>
        </w:rPr>
        <w:t>en</w:t>
      </w:r>
      <w:r w:rsidR="003F3CBF" w:rsidRPr="00216E9B">
        <w:rPr>
          <w:rFonts w:ascii="Times New Roman" w:hAnsi="Times New Roman" w:cs="Times New Roman"/>
        </w:rPr>
        <w:t xml:space="preserve"> cas </w:t>
      </w:r>
      <w:r w:rsidR="00767956">
        <w:rPr>
          <w:rFonts w:ascii="Times New Roman" w:hAnsi="Times New Roman" w:cs="Times New Roman"/>
        </w:rPr>
        <w:t>de</w:t>
      </w:r>
      <w:r w:rsidR="003F3CBF" w:rsidRPr="00216E9B">
        <w:rPr>
          <w:rFonts w:ascii="Times New Roman" w:hAnsi="Times New Roman" w:cs="Times New Roman"/>
        </w:rPr>
        <w:t xml:space="preserve"> cotutelle internationale de thèse.</w:t>
      </w:r>
    </w:p>
    <w:p w:rsidR="003F3CBF" w:rsidRPr="00216E9B" w:rsidRDefault="003F3CBF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6C7" w:rsidRPr="00410919" w:rsidRDefault="00410919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919">
        <w:rPr>
          <w:rFonts w:ascii="Times New Roman" w:hAnsi="Times New Roman" w:cs="Times New Roman"/>
        </w:rPr>
        <w:t>-</w:t>
      </w:r>
      <w:r w:rsidR="00F63C9D" w:rsidRPr="00410919">
        <w:rPr>
          <w:rFonts w:ascii="Times New Roman" w:hAnsi="Times New Roman" w:cs="Times New Roman"/>
        </w:rPr>
        <w:t xml:space="preserve"> ne pas avoir déjà </w:t>
      </w:r>
      <w:r>
        <w:rPr>
          <w:rFonts w:ascii="Times New Roman" w:hAnsi="Times New Roman" w:cs="Times New Roman"/>
        </w:rPr>
        <w:t>débuté</w:t>
      </w:r>
      <w:r w:rsidR="00F63C9D" w:rsidRPr="00410919">
        <w:rPr>
          <w:rFonts w:ascii="Times New Roman" w:hAnsi="Times New Roman" w:cs="Times New Roman"/>
        </w:rPr>
        <w:t xml:space="preserve"> </w:t>
      </w:r>
      <w:r w:rsidR="005D2ABB" w:rsidRPr="00410919">
        <w:rPr>
          <w:rFonts w:ascii="Times New Roman" w:hAnsi="Times New Roman" w:cs="Times New Roman"/>
        </w:rPr>
        <w:t>une</w:t>
      </w:r>
      <w:r w:rsidR="00F63C9D" w:rsidRPr="004109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thèse</w:t>
      </w:r>
      <w:r w:rsidR="00F63C9D" w:rsidRPr="004109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avec ou sans</w:t>
      </w:r>
      <w:r w:rsidR="00F63C9D" w:rsidRPr="00410919">
        <w:rPr>
          <w:rFonts w:ascii="Times New Roman" w:hAnsi="Times New Roman" w:cs="Times New Roman"/>
        </w:rPr>
        <w:t xml:space="preserve"> le bénéfice d’un autre dispositif de financement de thèse.</w:t>
      </w:r>
    </w:p>
    <w:p w:rsidR="00697447" w:rsidRDefault="00697447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2CC5" w:rsidRDefault="00CF2CC5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620" w:rsidRPr="00216E9B" w:rsidRDefault="00B61620" w:rsidP="00BF6D3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16E9B">
        <w:rPr>
          <w:rFonts w:ascii="Times New Roman" w:hAnsi="Times New Roman" w:cs="Times New Roman"/>
          <w:b/>
          <w:u w:val="single"/>
        </w:rPr>
        <w:t xml:space="preserve">Conditions liées à </w:t>
      </w:r>
      <w:r w:rsidR="00D23433" w:rsidRPr="00216E9B">
        <w:rPr>
          <w:rFonts w:ascii="Times New Roman" w:hAnsi="Times New Roman" w:cs="Times New Roman"/>
          <w:b/>
          <w:u w:val="single"/>
        </w:rPr>
        <w:t>l’</w:t>
      </w:r>
      <w:r w:rsidRPr="00216E9B">
        <w:rPr>
          <w:rFonts w:ascii="Times New Roman" w:hAnsi="Times New Roman" w:cs="Times New Roman"/>
          <w:b/>
          <w:u w:val="single"/>
        </w:rPr>
        <w:t>employeur</w:t>
      </w:r>
    </w:p>
    <w:p w:rsidR="00F63C9D" w:rsidRPr="00B035C3" w:rsidRDefault="00F63C9D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03C3" w:rsidRPr="00DF78C9" w:rsidRDefault="004103C3" w:rsidP="00DF78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toute</w:t>
      </w:r>
      <w:r w:rsidR="00DF78C9">
        <w:rPr>
          <w:rFonts w:ascii="Times New Roman" w:hAnsi="Times New Roman" w:cs="Times New Roman"/>
        </w:rPr>
        <w:t xml:space="preserve"> </w:t>
      </w:r>
      <w:r w:rsidR="00DF78C9" w:rsidRPr="004103C3">
        <w:rPr>
          <w:rFonts w:ascii="Times New Roman" w:hAnsi="Times New Roman" w:cs="Times New Roman"/>
        </w:rPr>
        <w:t xml:space="preserve">structure établie sur le territoire français </w:t>
      </w:r>
      <w:r>
        <w:rPr>
          <w:rFonts w:ascii="Times New Roman" w:hAnsi="Times New Roman" w:cs="Times New Roman"/>
        </w:rPr>
        <w:t xml:space="preserve">et </w:t>
      </w:r>
      <w:r w:rsidR="00DF78C9" w:rsidRPr="004103C3">
        <w:rPr>
          <w:rFonts w:ascii="Times New Roman" w:hAnsi="Times New Roman" w:cs="Times New Roman"/>
        </w:rPr>
        <w:t>appartenant au monde socio-économique</w:t>
      </w:r>
      <w:r w:rsidR="00DF7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(industriel, association, collectivité territoriale, etc.), </w:t>
      </w:r>
      <w:r w:rsidR="00DF78C9" w:rsidRPr="00DF78C9">
        <w:rPr>
          <w:rFonts w:ascii="Times New Roman" w:hAnsi="Times New Roman" w:cs="Times New Roman"/>
        </w:rPr>
        <w:t>quel</w:t>
      </w:r>
      <w:r w:rsidR="008A0590">
        <w:rPr>
          <w:rFonts w:ascii="Times New Roman" w:hAnsi="Times New Roman" w:cs="Times New Roman"/>
        </w:rPr>
        <w:t xml:space="preserve">le </w:t>
      </w:r>
      <w:r w:rsidR="00DF78C9" w:rsidRPr="00DF78C9">
        <w:rPr>
          <w:rFonts w:ascii="Times New Roman" w:hAnsi="Times New Roman" w:cs="Times New Roman"/>
        </w:rPr>
        <w:t>que soit sa taill</w:t>
      </w:r>
      <w:r w:rsidR="00E65941">
        <w:rPr>
          <w:rFonts w:ascii="Times New Roman" w:hAnsi="Times New Roman" w:cs="Times New Roman"/>
        </w:rPr>
        <w:t xml:space="preserve">e ou son activité </w:t>
      </w:r>
      <w:r>
        <w:rPr>
          <w:rFonts w:ascii="Times New Roman" w:hAnsi="Times New Roman" w:cs="Times New Roman"/>
        </w:rPr>
        <w:t>est éligible.</w:t>
      </w:r>
    </w:p>
    <w:p w:rsidR="00DF78C9" w:rsidRPr="00DF78C9" w:rsidRDefault="00DF78C9" w:rsidP="00DF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78C9" w:rsidRPr="00A6086A" w:rsidRDefault="004103C3" w:rsidP="00DF78C9">
      <w:pPr>
        <w:pStyle w:val="NormalWeb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- seules sont exclues les</w:t>
      </w:r>
      <w:r w:rsidR="00DF78C9" w:rsidRPr="00DF78C9">
        <w:rPr>
          <w:rFonts w:eastAsiaTheme="minorHAnsi"/>
          <w:sz w:val="22"/>
          <w:szCs w:val="22"/>
          <w:lang w:eastAsia="en-US"/>
        </w:rPr>
        <w:t xml:space="preserve"> structure dont la mission principale</w:t>
      </w:r>
      <w:r w:rsidR="009D55D4">
        <w:rPr>
          <w:rFonts w:eastAsiaTheme="minorHAnsi"/>
          <w:sz w:val="22"/>
          <w:szCs w:val="22"/>
          <w:lang w:eastAsia="en-US"/>
        </w:rPr>
        <w:t xml:space="preserve"> (ou par</w:t>
      </w:r>
      <w:r w:rsidR="00DF78C9" w:rsidRPr="00DF78C9">
        <w:rPr>
          <w:rFonts w:eastAsiaTheme="minorHAnsi"/>
          <w:sz w:val="22"/>
          <w:szCs w:val="22"/>
          <w:lang w:eastAsia="en-US"/>
        </w:rPr>
        <w:t xml:space="preserve"> délégation</w:t>
      </w:r>
      <w:r w:rsidR="009D55D4">
        <w:rPr>
          <w:rFonts w:eastAsiaTheme="minorHAnsi"/>
          <w:sz w:val="22"/>
          <w:szCs w:val="22"/>
          <w:lang w:eastAsia="en-US"/>
        </w:rPr>
        <w:t>)</w:t>
      </w:r>
      <w:r w:rsidR="00DF78C9" w:rsidRPr="00DF78C9">
        <w:rPr>
          <w:rFonts w:eastAsiaTheme="minorHAnsi"/>
          <w:sz w:val="22"/>
          <w:szCs w:val="22"/>
          <w:lang w:eastAsia="en-US"/>
        </w:rPr>
        <w:t xml:space="preserve"> est d’exercer une ou des</w:t>
      </w:r>
      <w:r w:rsidR="00DF78C9" w:rsidRPr="00DF78C9">
        <w:rPr>
          <w:sz w:val="22"/>
          <w:szCs w:val="22"/>
        </w:rPr>
        <w:t xml:space="preserve"> activités mentionnées </w:t>
      </w:r>
      <w:r w:rsidR="00A6086A">
        <w:rPr>
          <w:sz w:val="22"/>
          <w:szCs w:val="22"/>
        </w:rPr>
        <w:t xml:space="preserve">aux articles </w:t>
      </w:r>
      <w:hyperlink r:id="rId10" w:history="1">
        <w:r w:rsidR="00A6086A" w:rsidRPr="00DF78C9">
          <w:rPr>
            <w:rStyle w:val="Lienhypertexte"/>
            <w:sz w:val="22"/>
            <w:szCs w:val="22"/>
          </w:rPr>
          <w:t>L123-3 du code de l’éducation</w:t>
        </w:r>
      </w:hyperlink>
      <w:r w:rsidR="00A6086A" w:rsidRPr="00DF78C9">
        <w:rPr>
          <w:sz w:val="22"/>
          <w:szCs w:val="22"/>
        </w:rPr>
        <w:t xml:space="preserve"> (</w:t>
      </w:r>
      <w:r w:rsidR="00A6086A" w:rsidRPr="001376C6">
        <w:rPr>
          <w:sz w:val="22"/>
          <w:szCs w:val="22"/>
        </w:rPr>
        <w:t>missions du service public de l'enseignement supérieur</w:t>
      </w:r>
      <w:r w:rsidR="00A6086A" w:rsidRPr="00DF78C9">
        <w:rPr>
          <w:sz w:val="22"/>
          <w:szCs w:val="22"/>
        </w:rPr>
        <w:t>)</w:t>
      </w:r>
      <w:r w:rsidR="00A6086A">
        <w:rPr>
          <w:sz w:val="22"/>
          <w:szCs w:val="22"/>
        </w:rPr>
        <w:t xml:space="preserve"> et</w:t>
      </w:r>
      <w:r w:rsidR="00DF78C9" w:rsidRPr="00DF78C9">
        <w:rPr>
          <w:sz w:val="22"/>
          <w:szCs w:val="22"/>
        </w:rPr>
        <w:t xml:space="preserve"> </w:t>
      </w:r>
      <w:hyperlink r:id="rId11" w:history="1">
        <w:r w:rsidR="00DF78C9" w:rsidRPr="00DF78C9">
          <w:rPr>
            <w:rStyle w:val="Lienhypertexte"/>
            <w:sz w:val="22"/>
            <w:szCs w:val="22"/>
          </w:rPr>
          <w:t>L112-1 du code de la recherche</w:t>
        </w:r>
      </w:hyperlink>
      <w:r w:rsidR="00DF78C9" w:rsidRPr="00DF78C9">
        <w:rPr>
          <w:sz w:val="22"/>
          <w:szCs w:val="22"/>
        </w:rPr>
        <w:t xml:space="preserve"> (</w:t>
      </w:r>
      <w:r w:rsidR="00C73DCD" w:rsidRPr="001376C6">
        <w:rPr>
          <w:sz w:val="22"/>
          <w:szCs w:val="22"/>
        </w:rPr>
        <w:t>objectifs de</w:t>
      </w:r>
      <w:r w:rsidR="00DF78C9" w:rsidRPr="001376C6">
        <w:rPr>
          <w:sz w:val="22"/>
          <w:szCs w:val="22"/>
        </w:rPr>
        <w:t xml:space="preserve"> </w:t>
      </w:r>
      <w:r w:rsidR="00C73DCD" w:rsidRPr="001376C6">
        <w:rPr>
          <w:sz w:val="22"/>
          <w:szCs w:val="22"/>
        </w:rPr>
        <w:t>la</w:t>
      </w:r>
      <w:r w:rsidR="00DF78C9" w:rsidRPr="001376C6">
        <w:rPr>
          <w:sz w:val="22"/>
          <w:szCs w:val="22"/>
        </w:rPr>
        <w:t xml:space="preserve"> recherche publique</w:t>
      </w:r>
      <w:r w:rsidR="00A6086A">
        <w:rPr>
          <w:sz w:val="22"/>
          <w:szCs w:val="22"/>
        </w:rPr>
        <w:t>). L</w:t>
      </w:r>
      <w:r w:rsidR="001A39A0" w:rsidRPr="00A6086A">
        <w:rPr>
          <w:sz w:val="22"/>
          <w:szCs w:val="22"/>
        </w:rPr>
        <w:t xml:space="preserve">’Institut Pasteur ne </w:t>
      </w:r>
      <w:r w:rsidR="00A6086A">
        <w:rPr>
          <w:sz w:val="22"/>
          <w:szCs w:val="22"/>
        </w:rPr>
        <w:t>peut donc être employeur dans le cadre d’une CIFRE</w:t>
      </w:r>
      <w:r w:rsidR="001A39A0" w:rsidRPr="00A6086A">
        <w:rPr>
          <w:sz w:val="22"/>
          <w:szCs w:val="22"/>
        </w:rPr>
        <w:t>.</w:t>
      </w:r>
    </w:p>
    <w:p w:rsidR="00DF78C9" w:rsidRPr="00DF78C9" w:rsidRDefault="00DF78C9" w:rsidP="00DF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78C9" w:rsidRPr="00C52A71" w:rsidRDefault="00C52A71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2A71">
        <w:rPr>
          <w:rFonts w:ascii="Times New Roman" w:hAnsi="Times New Roman" w:cs="Times New Roman"/>
        </w:rPr>
        <w:t xml:space="preserve">- </w:t>
      </w:r>
      <w:r w:rsidR="0067676F" w:rsidRPr="00C52A71">
        <w:rPr>
          <w:rFonts w:ascii="Times New Roman" w:hAnsi="Times New Roman" w:cs="Times New Roman"/>
        </w:rPr>
        <w:t xml:space="preserve"> sujet de recherche du doctorant </w:t>
      </w:r>
      <w:r w:rsidR="005F1AEC">
        <w:rPr>
          <w:rFonts w:ascii="Times New Roman" w:hAnsi="Times New Roman" w:cs="Times New Roman"/>
        </w:rPr>
        <w:t>s’inscrivant</w:t>
      </w:r>
      <w:r w:rsidR="0067676F" w:rsidRPr="00C52A71">
        <w:rPr>
          <w:rFonts w:ascii="Times New Roman" w:hAnsi="Times New Roman" w:cs="Times New Roman"/>
        </w:rPr>
        <w:t xml:space="preserve"> dans l’objet et le développement</w:t>
      </w:r>
      <w:r w:rsidR="00FD7C8F">
        <w:rPr>
          <w:rFonts w:ascii="Times New Roman" w:hAnsi="Times New Roman" w:cs="Times New Roman"/>
        </w:rPr>
        <w:t xml:space="preserve"> de l’entreprise </w:t>
      </w:r>
      <w:r w:rsidR="0067676F" w:rsidRPr="00C52A71">
        <w:rPr>
          <w:rFonts w:ascii="Times New Roman" w:hAnsi="Times New Roman" w:cs="Times New Roman"/>
        </w:rPr>
        <w:t xml:space="preserve">employeur. </w:t>
      </w:r>
    </w:p>
    <w:p w:rsidR="00DF78C9" w:rsidRDefault="00DF78C9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78C9" w:rsidRPr="00C52A71" w:rsidRDefault="00C52A71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2A71">
        <w:rPr>
          <w:rFonts w:ascii="Times New Roman" w:hAnsi="Times New Roman" w:cs="Times New Roman"/>
        </w:rPr>
        <w:t>-</w:t>
      </w:r>
      <w:r w:rsidR="005A7E67" w:rsidRPr="00C52A71">
        <w:rPr>
          <w:rFonts w:ascii="Times New Roman" w:hAnsi="Times New Roman" w:cs="Times New Roman"/>
        </w:rPr>
        <w:t xml:space="preserve"> </w:t>
      </w:r>
      <w:r w:rsidR="005F1AEC">
        <w:rPr>
          <w:rFonts w:ascii="Times New Roman" w:hAnsi="Times New Roman" w:cs="Times New Roman"/>
        </w:rPr>
        <w:t>recrutement du</w:t>
      </w:r>
      <w:r w:rsidR="005A7E67" w:rsidRPr="00C52A71">
        <w:rPr>
          <w:rFonts w:ascii="Times New Roman" w:hAnsi="Times New Roman" w:cs="Times New Roman"/>
        </w:rPr>
        <w:t xml:space="preserve"> doctorant </w:t>
      </w:r>
      <w:r w:rsidR="005F1AEC">
        <w:rPr>
          <w:rFonts w:ascii="Times New Roman" w:hAnsi="Times New Roman" w:cs="Times New Roman"/>
        </w:rPr>
        <w:t xml:space="preserve">par </w:t>
      </w:r>
      <w:r w:rsidR="005A7E67" w:rsidRPr="00C52A71">
        <w:rPr>
          <w:rFonts w:ascii="Times New Roman" w:hAnsi="Times New Roman" w:cs="Times New Roman"/>
        </w:rPr>
        <w:t xml:space="preserve">CDD (durée </w:t>
      </w:r>
      <w:r w:rsidR="00362553" w:rsidRPr="00C52A71">
        <w:rPr>
          <w:rFonts w:ascii="Times New Roman" w:hAnsi="Times New Roman" w:cs="Times New Roman"/>
          <w:i/>
        </w:rPr>
        <w:t>à</w:t>
      </w:r>
      <w:r w:rsidR="005A7E67" w:rsidRPr="00C52A71">
        <w:rPr>
          <w:rFonts w:ascii="Times New Roman" w:hAnsi="Times New Roman" w:cs="Times New Roman"/>
          <w:i/>
        </w:rPr>
        <w:t xml:space="preserve"> minima</w:t>
      </w:r>
      <w:r w:rsidR="005A7E67" w:rsidRPr="00C52A71">
        <w:rPr>
          <w:rFonts w:ascii="Times New Roman" w:hAnsi="Times New Roman" w:cs="Times New Roman"/>
        </w:rPr>
        <w:t xml:space="preserve"> alignée à celle de la CIFRE) ou CDI.</w:t>
      </w:r>
    </w:p>
    <w:p w:rsidR="00175443" w:rsidRDefault="00175443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4A0" w:rsidRPr="005F1AEC" w:rsidRDefault="00EF14A0" w:rsidP="00EF14A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F1AEC">
        <w:rPr>
          <w:rFonts w:ascii="Times New Roman" w:hAnsi="Times New Roman" w:cs="Times New Roman"/>
          <w:b/>
          <w:u w:val="single"/>
        </w:rPr>
        <w:t>Conditions liées au laboratoire de recherche</w:t>
      </w:r>
    </w:p>
    <w:p w:rsidR="00EF14A0" w:rsidRDefault="00EF14A0" w:rsidP="00EF14A0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EF14A0" w:rsidRPr="00EF14A0" w:rsidRDefault="00EF14A0" w:rsidP="00EF14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14A0">
        <w:rPr>
          <w:rFonts w:ascii="Times New Roman" w:hAnsi="Times New Roman" w:cs="Times New Roman"/>
        </w:rPr>
        <w:t>Le laboratoire de recherche est rattaché à une école doctorale. Il peut être un laboratoire étranger, dans le cadre d’une cotutelle avec un établissement français.</w:t>
      </w:r>
    </w:p>
    <w:p w:rsidR="005A7E67" w:rsidRPr="00CF2CC5" w:rsidRDefault="005A7E67" w:rsidP="000C0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F37" w:rsidRDefault="00CF2CC5" w:rsidP="009B520C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III</w:t>
      </w:r>
      <w:r w:rsidR="00BF6D3D">
        <w:rPr>
          <w:rFonts w:ascii="Times New Roman" w:hAnsi="Times New Roman" w:cs="Times New Roman"/>
          <w:b/>
          <w:u w:val="single"/>
        </w:rPr>
        <w:t xml:space="preserve">. </w:t>
      </w:r>
      <w:r w:rsidR="005941EF">
        <w:rPr>
          <w:rFonts w:ascii="Times New Roman" w:hAnsi="Times New Roman" w:cs="Times New Roman"/>
          <w:b/>
          <w:u w:val="single"/>
        </w:rPr>
        <w:t>Sélection</w:t>
      </w:r>
      <w:r w:rsidR="00EF2F37">
        <w:rPr>
          <w:rFonts w:ascii="Times New Roman" w:hAnsi="Times New Roman" w:cs="Times New Roman"/>
          <w:b/>
          <w:u w:val="single"/>
        </w:rPr>
        <w:t xml:space="preserve"> des candidatures</w:t>
      </w:r>
    </w:p>
    <w:p w:rsidR="00EF2F37" w:rsidRPr="005E56C7" w:rsidRDefault="00EF2F37" w:rsidP="00EF2F3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F2F37" w:rsidRDefault="005941EF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55E9">
        <w:rPr>
          <w:rFonts w:ascii="Times New Roman" w:hAnsi="Times New Roman" w:cs="Times New Roman"/>
          <w:u w:val="single"/>
        </w:rPr>
        <w:t>Demande transmise à l’ANRT</w:t>
      </w:r>
      <w:r>
        <w:rPr>
          <w:rFonts w:ascii="Times New Roman" w:hAnsi="Times New Roman" w:cs="Times New Roman"/>
        </w:rPr>
        <w:t xml:space="preserve"> </w:t>
      </w:r>
      <w:r w:rsidR="00EF14A0">
        <w:rPr>
          <w:rFonts w:ascii="Times New Roman" w:hAnsi="Times New Roman" w:cs="Times New Roman"/>
        </w:rPr>
        <w:t xml:space="preserve">tout au long de l’année </w:t>
      </w:r>
      <w:r>
        <w:rPr>
          <w:rFonts w:ascii="Times New Roman" w:hAnsi="Times New Roman" w:cs="Times New Roman"/>
        </w:rPr>
        <w:t xml:space="preserve">selon les modalités indiquées sur </w:t>
      </w:r>
      <w:hyperlink r:id="rId12" w:history="1">
        <w:r w:rsidRPr="00031387">
          <w:rPr>
            <w:rStyle w:val="Lienhypertexte"/>
            <w:rFonts w:ascii="Times New Roman" w:hAnsi="Times New Roman" w:cs="Times New Roman"/>
          </w:rPr>
          <w:t>www.anrt.asso.fr</w:t>
        </w:r>
      </w:hyperlink>
      <w:r w:rsidR="00EF14A0">
        <w:rPr>
          <w:rFonts w:ascii="Times New Roman" w:hAnsi="Times New Roman" w:cs="Times New Roman"/>
        </w:rPr>
        <w:t>.</w:t>
      </w:r>
    </w:p>
    <w:p w:rsidR="00EA55E9" w:rsidRDefault="00EA55E9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41EF" w:rsidRDefault="005941EF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41EF">
        <w:rPr>
          <w:rFonts w:ascii="Times New Roman" w:hAnsi="Times New Roman" w:cs="Times New Roman"/>
          <w:u w:val="single"/>
        </w:rPr>
        <w:t>Critères d’appréciation</w:t>
      </w:r>
      <w:r>
        <w:rPr>
          <w:rFonts w:ascii="Times New Roman" w:hAnsi="Times New Roman" w:cs="Times New Roman"/>
        </w:rPr>
        <w:t xml:space="preserve"> : </w:t>
      </w:r>
    </w:p>
    <w:p w:rsidR="005941EF" w:rsidRDefault="00D67F4D" w:rsidP="005941E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D67F4D">
        <w:rPr>
          <w:rFonts w:ascii="Times New Roman" w:hAnsi="Times New Roman" w:cs="Times New Roman"/>
          <w:sz w:val="18"/>
          <w:szCs w:val="18"/>
        </w:rPr>
        <w:t>●</w:t>
      </w:r>
      <w:r w:rsidR="005941EF">
        <w:rPr>
          <w:rFonts w:ascii="Times New Roman" w:hAnsi="Times New Roman" w:cs="Times New Roman"/>
        </w:rPr>
        <w:t xml:space="preserve"> qualité scientifique &amp; pertinence du projet et des partenaires (entreprise, laboratoire &amp; candidat), </w:t>
      </w:r>
    </w:p>
    <w:p w:rsidR="005941EF" w:rsidRDefault="00D67F4D" w:rsidP="005941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7F4D">
        <w:rPr>
          <w:rFonts w:ascii="Times New Roman" w:hAnsi="Times New Roman" w:cs="Times New Roman"/>
          <w:sz w:val="18"/>
          <w:szCs w:val="18"/>
        </w:rPr>
        <w:t>●</w:t>
      </w:r>
      <w:r w:rsidR="005941EF">
        <w:rPr>
          <w:rFonts w:ascii="Times New Roman" w:hAnsi="Times New Roman" w:cs="Times New Roman"/>
        </w:rPr>
        <w:t xml:space="preserve"> qualité de l’encadrement du doctorant par </w:t>
      </w:r>
      <w:r w:rsidR="00FD7C8F">
        <w:rPr>
          <w:rFonts w:ascii="Times New Roman" w:hAnsi="Times New Roman" w:cs="Times New Roman"/>
        </w:rPr>
        <w:t>l’entreprise employeur</w:t>
      </w:r>
      <w:r w:rsidR="005941EF">
        <w:rPr>
          <w:rFonts w:ascii="Times New Roman" w:hAnsi="Times New Roman" w:cs="Times New Roman"/>
        </w:rPr>
        <w:t xml:space="preserve">. </w:t>
      </w:r>
    </w:p>
    <w:p w:rsidR="00EA55E9" w:rsidRDefault="00EA55E9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41EF" w:rsidRDefault="005941EF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9AD">
        <w:rPr>
          <w:rFonts w:ascii="Times New Roman" w:hAnsi="Times New Roman" w:cs="Times New Roman"/>
          <w:u w:val="single"/>
        </w:rPr>
        <w:t xml:space="preserve">Instruction </w:t>
      </w:r>
      <w:r w:rsidR="002C4DE8" w:rsidRPr="00E869AD">
        <w:rPr>
          <w:rFonts w:ascii="Times New Roman" w:hAnsi="Times New Roman" w:cs="Times New Roman"/>
          <w:u w:val="single"/>
        </w:rPr>
        <w:t>dans les 3 mois</w:t>
      </w:r>
      <w:r w:rsidR="002C4D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 le comité d’évaluation et de suivi des CIFRE (représentants de l’ANRT et du </w:t>
      </w:r>
      <w:r w:rsidR="00E9597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inistère </w:t>
      </w:r>
      <w:r w:rsidR="00E869AD">
        <w:rPr>
          <w:rFonts w:ascii="Times New Roman" w:hAnsi="Times New Roman" w:cs="Times New Roman"/>
        </w:rPr>
        <w:t>de la Recherche et de l’E</w:t>
      </w:r>
      <w:r w:rsidR="00ED0358">
        <w:rPr>
          <w:rFonts w:ascii="Times New Roman" w:hAnsi="Times New Roman" w:cs="Times New Roman"/>
        </w:rPr>
        <w:t xml:space="preserve">nseignement </w:t>
      </w:r>
      <w:r w:rsidR="00E95974">
        <w:rPr>
          <w:rFonts w:ascii="Times New Roman" w:hAnsi="Times New Roman" w:cs="Times New Roman"/>
        </w:rPr>
        <w:t>S</w:t>
      </w:r>
      <w:r w:rsidR="00ED0358">
        <w:rPr>
          <w:rFonts w:ascii="Times New Roman" w:hAnsi="Times New Roman" w:cs="Times New Roman"/>
        </w:rPr>
        <w:t xml:space="preserve">upérieur) + avis </w:t>
      </w:r>
      <w:r>
        <w:rPr>
          <w:rFonts w:ascii="Times New Roman" w:hAnsi="Times New Roman" w:cs="Times New Roman"/>
        </w:rPr>
        <w:t>du délégué régional à la recherche et à la technologie (DRRT) de la r</w:t>
      </w:r>
      <w:r w:rsidR="00161AB6">
        <w:rPr>
          <w:rFonts w:ascii="Times New Roman" w:hAnsi="Times New Roman" w:cs="Times New Roman"/>
        </w:rPr>
        <w:t xml:space="preserve">égion de </w:t>
      </w:r>
      <w:r w:rsidR="00FD7C8F">
        <w:rPr>
          <w:rFonts w:ascii="Times New Roman" w:hAnsi="Times New Roman" w:cs="Times New Roman"/>
        </w:rPr>
        <w:t>l’</w:t>
      </w:r>
      <w:r w:rsidR="004137AC">
        <w:rPr>
          <w:rFonts w:ascii="Times New Roman" w:hAnsi="Times New Roman" w:cs="Times New Roman"/>
        </w:rPr>
        <w:t>entreprise</w:t>
      </w:r>
      <w:r>
        <w:rPr>
          <w:rFonts w:ascii="Times New Roman" w:hAnsi="Times New Roman" w:cs="Times New Roman"/>
        </w:rPr>
        <w:t xml:space="preserve">. </w:t>
      </w:r>
    </w:p>
    <w:p w:rsidR="00EF2F37" w:rsidRDefault="00EF2F37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55E9" w:rsidRDefault="00EA55E9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chaque </w:t>
      </w:r>
      <w:r w:rsidR="00ED0358">
        <w:rPr>
          <w:rFonts w:ascii="Times New Roman" w:hAnsi="Times New Roman" w:cs="Times New Roman"/>
        </w:rPr>
        <w:t>candidature</w:t>
      </w:r>
      <w:r>
        <w:rPr>
          <w:rFonts w:ascii="Times New Roman" w:hAnsi="Times New Roman" w:cs="Times New Roman"/>
        </w:rPr>
        <w:t xml:space="preserve"> acceptée</w:t>
      </w:r>
      <w:r w:rsidR="008A1DF7">
        <w:rPr>
          <w:rFonts w:ascii="Times New Roman" w:hAnsi="Times New Roman" w:cs="Times New Roman"/>
        </w:rPr>
        <w:t xml:space="preserve"> (t</w:t>
      </w:r>
      <w:r w:rsidR="008A1DF7" w:rsidRPr="008A1DF7">
        <w:rPr>
          <w:rFonts w:ascii="Times New Roman" w:hAnsi="Times New Roman" w:cs="Times New Roman"/>
        </w:rPr>
        <w:t>aux de sélection de</w:t>
      </w:r>
      <w:r w:rsidR="008A1DF7">
        <w:rPr>
          <w:rFonts w:ascii="Times New Roman" w:hAnsi="Times New Roman" w:cs="Times New Roman"/>
        </w:rPr>
        <w:t xml:space="preserve"> 80%</w:t>
      </w:r>
      <w:r w:rsidR="008A1DF7" w:rsidRPr="008A1DF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l’ANRT adresse la </w:t>
      </w:r>
      <w:r w:rsidR="00ED0358">
        <w:rPr>
          <w:rFonts w:ascii="Times New Roman" w:hAnsi="Times New Roman" w:cs="Times New Roman"/>
        </w:rPr>
        <w:t>CIFRE</w:t>
      </w:r>
      <w:r>
        <w:rPr>
          <w:rFonts w:ascii="Times New Roman" w:hAnsi="Times New Roman" w:cs="Times New Roman"/>
        </w:rPr>
        <w:t xml:space="preserve"> </w:t>
      </w:r>
      <w:r w:rsidR="00001E5A">
        <w:rPr>
          <w:rFonts w:ascii="Times New Roman" w:hAnsi="Times New Roman" w:cs="Times New Roman"/>
        </w:rPr>
        <w:t xml:space="preserve">à </w:t>
      </w:r>
      <w:r w:rsidR="00FD7C8F">
        <w:rPr>
          <w:rFonts w:ascii="Times New Roman" w:hAnsi="Times New Roman" w:cs="Times New Roman"/>
        </w:rPr>
        <w:t>l’entreprise employeur</w:t>
      </w:r>
      <w:r>
        <w:rPr>
          <w:rFonts w:ascii="Times New Roman" w:hAnsi="Times New Roman" w:cs="Times New Roman"/>
        </w:rPr>
        <w:t xml:space="preserve"> ; les dispositions de </w:t>
      </w:r>
      <w:r w:rsidR="00ED0358">
        <w:rPr>
          <w:rFonts w:ascii="Times New Roman" w:hAnsi="Times New Roman" w:cs="Times New Roman"/>
        </w:rPr>
        <w:t>cette</w:t>
      </w:r>
      <w:r>
        <w:rPr>
          <w:rFonts w:ascii="Times New Roman" w:hAnsi="Times New Roman" w:cs="Times New Roman"/>
        </w:rPr>
        <w:t xml:space="preserve"> convention</w:t>
      </w:r>
      <w:r w:rsidR="00001E5A">
        <w:rPr>
          <w:rFonts w:ascii="Times New Roman" w:hAnsi="Times New Roman" w:cs="Times New Roman"/>
        </w:rPr>
        <w:t xml:space="preserve"> sont fixes et non négociables.</w:t>
      </w:r>
    </w:p>
    <w:p w:rsidR="00535842" w:rsidRPr="00CF2CC5" w:rsidRDefault="00535842" w:rsidP="000C0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7BE" w:rsidRDefault="00CF2CC5" w:rsidP="009B520C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</w:t>
      </w:r>
      <w:r w:rsidR="00BF6D3D" w:rsidRPr="00BF6D3D">
        <w:rPr>
          <w:rFonts w:ascii="Times New Roman" w:hAnsi="Times New Roman" w:cs="Times New Roman"/>
          <w:b/>
          <w:u w:val="single"/>
        </w:rPr>
        <w:t xml:space="preserve">V. </w:t>
      </w:r>
      <w:r w:rsidR="00535842">
        <w:rPr>
          <w:rFonts w:ascii="Times New Roman" w:hAnsi="Times New Roman" w:cs="Times New Roman"/>
          <w:b/>
          <w:u w:val="single"/>
        </w:rPr>
        <w:t>Conditions</w:t>
      </w:r>
      <w:r w:rsidR="00BF6D3D">
        <w:rPr>
          <w:rFonts w:ascii="Times New Roman" w:hAnsi="Times New Roman" w:cs="Times New Roman"/>
          <w:b/>
          <w:u w:val="single"/>
        </w:rPr>
        <w:t xml:space="preserve"> de m</w:t>
      </w:r>
      <w:r w:rsidR="003C3A6C" w:rsidRPr="00BF6D3D">
        <w:rPr>
          <w:rFonts w:ascii="Times New Roman" w:hAnsi="Times New Roman" w:cs="Times New Roman"/>
          <w:b/>
          <w:u w:val="single"/>
        </w:rPr>
        <w:t>ise</w:t>
      </w:r>
      <w:r w:rsidR="003C3A6C">
        <w:rPr>
          <w:rFonts w:ascii="Times New Roman" w:hAnsi="Times New Roman" w:cs="Times New Roman"/>
          <w:b/>
          <w:u w:val="single"/>
        </w:rPr>
        <w:t xml:space="preserve"> en place</w:t>
      </w:r>
      <w:r w:rsidR="000957BE">
        <w:rPr>
          <w:rFonts w:ascii="Times New Roman" w:hAnsi="Times New Roman" w:cs="Times New Roman"/>
          <w:b/>
          <w:u w:val="single"/>
        </w:rPr>
        <w:t xml:space="preserve"> </w:t>
      </w:r>
    </w:p>
    <w:p w:rsidR="00001E5A" w:rsidRPr="00001E5A" w:rsidRDefault="00001E5A" w:rsidP="00001E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957BE" w:rsidRPr="005D3DF9" w:rsidRDefault="00574FFD" w:rsidP="00EF14A0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D3DF9">
        <w:rPr>
          <w:rFonts w:ascii="Times New Roman" w:hAnsi="Times New Roman" w:cs="Times New Roman"/>
          <w:b/>
          <w:u w:val="single"/>
        </w:rPr>
        <w:t>Formation doctorale</w:t>
      </w:r>
    </w:p>
    <w:p w:rsidR="000957BE" w:rsidRDefault="000957BE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39A0" w:rsidRDefault="001A39A0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L’inscription à l’école doctorale de rattachement du laboratoire de recherche qui encadre les travaux doit couvrir toute la durée de la CIFRE. </w:t>
      </w:r>
    </w:p>
    <w:p w:rsidR="001A39A0" w:rsidRDefault="001A39A0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FFD" w:rsidRDefault="00456F52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doctorant est encadré</w:t>
      </w:r>
      <w:r w:rsidR="00574FFD">
        <w:rPr>
          <w:rFonts w:ascii="Times New Roman" w:hAnsi="Times New Roman" w:cs="Times New Roman"/>
        </w:rPr>
        <w:t xml:space="preserve"> par un </w:t>
      </w:r>
      <w:r w:rsidR="00574FFD" w:rsidRPr="00DB39CE">
        <w:rPr>
          <w:rFonts w:ascii="Times New Roman" w:hAnsi="Times New Roman" w:cs="Times New Roman"/>
          <w:u w:val="single"/>
        </w:rPr>
        <w:t>tuteur scientifique</w:t>
      </w:r>
      <w:r w:rsidR="00574FFD">
        <w:rPr>
          <w:rFonts w:ascii="Times New Roman" w:hAnsi="Times New Roman" w:cs="Times New Roman"/>
        </w:rPr>
        <w:t xml:space="preserve"> désigné par </w:t>
      </w:r>
      <w:r w:rsidR="00FD7C8F">
        <w:rPr>
          <w:rFonts w:ascii="Times New Roman" w:hAnsi="Times New Roman" w:cs="Times New Roman"/>
        </w:rPr>
        <w:t>l’entreprise</w:t>
      </w:r>
      <w:r w:rsidR="00574FFD">
        <w:rPr>
          <w:rFonts w:ascii="Times New Roman" w:hAnsi="Times New Roman" w:cs="Times New Roman"/>
        </w:rPr>
        <w:t xml:space="preserve"> </w:t>
      </w:r>
      <w:r w:rsidR="00254040">
        <w:rPr>
          <w:rFonts w:ascii="Times New Roman" w:hAnsi="Times New Roman" w:cs="Times New Roman"/>
        </w:rPr>
        <w:t xml:space="preserve">employeur </w:t>
      </w:r>
      <w:r w:rsidR="00574FFD">
        <w:rPr>
          <w:rFonts w:ascii="Times New Roman" w:hAnsi="Times New Roman" w:cs="Times New Roman"/>
        </w:rPr>
        <w:t xml:space="preserve">et par un </w:t>
      </w:r>
      <w:r w:rsidR="00574FFD" w:rsidRPr="00DB39CE">
        <w:rPr>
          <w:rFonts w:ascii="Times New Roman" w:hAnsi="Times New Roman" w:cs="Times New Roman"/>
          <w:u w:val="single"/>
        </w:rPr>
        <w:t>directeur de thèse</w:t>
      </w:r>
      <w:r w:rsidR="00574FFD">
        <w:rPr>
          <w:rFonts w:ascii="Times New Roman" w:hAnsi="Times New Roman" w:cs="Times New Roman"/>
        </w:rPr>
        <w:t xml:space="preserve"> désigné par le laboratoire de recherche, qui ne saurait compter au personnel de </w:t>
      </w:r>
      <w:r>
        <w:rPr>
          <w:rFonts w:ascii="Times New Roman" w:hAnsi="Times New Roman" w:cs="Times New Roman"/>
        </w:rPr>
        <w:t>l’entreprise</w:t>
      </w:r>
      <w:r w:rsidR="00574FFD">
        <w:rPr>
          <w:rFonts w:ascii="Times New Roman" w:hAnsi="Times New Roman" w:cs="Times New Roman"/>
        </w:rPr>
        <w:t xml:space="preserve">. </w:t>
      </w:r>
    </w:p>
    <w:p w:rsidR="00574FFD" w:rsidRDefault="00574FFD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FFD" w:rsidRDefault="00254040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L’entreprise </w:t>
      </w:r>
      <w:r w:rsidR="00574FFD">
        <w:rPr>
          <w:rFonts w:ascii="Times New Roman" w:hAnsi="Times New Roman" w:cs="Times New Roman"/>
        </w:rPr>
        <w:t>employeur s’engage à ce que le doctorant consacre son activité à la préparation de la thèse et à accompagner le doctorant dans son objectif de soutenance. Il lui permet d’assister aux formations dispensées par son école doctorale et lui accord</w:t>
      </w:r>
      <w:r w:rsidR="00DB39CE">
        <w:rPr>
          <w:rFonts w:ascii="Times New Roman" w:hAnsi="Times New Roman" w:cs="Times New Roman"/>
        </w:rPr>
        <w:t>e</w:t>
      </w:r>
      <w:r w:rsidR="00574FFD">
        <w:rPr>
          <w:rFonts w:ascii="Times New Roman" w:hAnsi="Times New Roman" w:cs="Times New Roman"/>
        </w:rPr>
        <w:t xml:space="preserve"> les temps nécessaires à la rédaction des rapports d’activités</w:t>
      </w:r>
      <w:r w:rsidR="008F0CB9">
        <w:rPr>
          <w:rFonts w:ascii="Times New Roman" w:hAnsi="Times New Roman" w:cs="Times New Roman"/>
        </w:rPr>
        <w:t xml:space="preserve"> </w:t>
      </w:r>
      <w:r w:rsidR="00C55ED4">
        <w:rPr>
          <w:rFonts w:ascii="Times New Roman" w:hAnsi="Times New Roman" w:cs="Times New Roman"/>
        </w:rPr>
        <w:t xml:space="preserve">à l’attention de l’ANRT </w:t>
      </w:r>
      <w:r w:rsidR="008F0CB9">
        <w:rPr>
          <w:rFonts w:ascii="Times New Roman" w:hAnsi="Times New Roman" w:cs="Times New Roman"/>
        </w:rPr>
        <w:t xml:space="preserve">et de sa thèse. </w:t>
      </w:r>
    </w:p>
    <w:p w:rsidR="003C3A6C" w:rsidRDefault="003C3A6C" w:rsidP="003C3A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3A6C" w:rsidRPr="00B035C3" w:rsidRDefault="003C3A6C" w:rsidP="003C3A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5C3">
        <w:rPr>
          <w:rFonts w:ascii="Times New Roman" w:hAnsi="Times New Roman" w:cs="Times New Roman"/>
        </w:rPr>
        <w:t xml:space="preserve">La </w:t>
      </w:r>
      <w:r w:rsidR="00254040">
        <w:rPr>
          <w:rFonts w:ascii="Times New Roman" w:hAnsi="Times New Roman" w:cs="Times New Roman"/>
        </w:rPr>
        <w:t>formation doctorale</w:t>
      </w:r>
      <w:r w:rsidRPr="00B035C3">
        <w:rPr>
          <w:rFonts w:ascii="Times New Roman" w:hAnsi="Times New Roman" w:cs="Times New Roman"/>
        </w:rPr>
        <w:t xml:space="preserve"> est validée, à l’issue des 3 ans, par la soutenance d’une thèse de doctorat. </w:t>
      </w:r>
    </w:p>
    <w:p w:rsidR="001A39A0" w:rsidRDefault="001A39A0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39A0" w:rsidRDefault="001A39A0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39A0" w:rsidRDefault="001A39A0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7B99" w:rsidRPr="005D3DF9" w:rsidRDefault="00B73DCD" w:rsidP="00EF14A0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D3DF9">
        <w:rPr>
          <w:rFonts w:ascii="Times New Roman" w:hAnsi="Times New Roman" w:cs="Times New Roman"/>
          <w:b/>
          <w:u w:val="single"/>
        </w:rPr>
        <w:t xml:space="preserve">Contrat de collaboration </w:t>
      </w:r>
    </w:p>
    <w:p w:rsidR="00B73DCD" w:rsidRPr="00B73DCD" w:rsidRDefault="00B73DCD" w:rsidP="00B73DC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E1C1C" w:rsidRDefault="00254040" w:rsidP="00B73D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L’entreprise</w:t>
      </w:r>
      <w:r w:rsidR="00B73DCD">
        <w:rPr>
          <w:rFonts w:ascii="Times New Roman" w:hAnsi="Times New Roman" w:cs="Times New Roman"/>
        </w:rPr>
        <w:t xml:space="preserve"> et le laboratoire de recherche formalisent leur collaboration par un contrat de collaboration couvrant la durée de la CIFRE</w:t>
      </w:r>
      <w:r w:rsidR="00D801B1">
        <w:rPr>
          <w:rFonts w:ascii="Times New Roman" w:hAnsi="Times New Roman" w:cs="Times New Roman"/>
        </w:rPr>
        <w:t xml:space="preserve"> et </w:t>
      </w:r>
      <w:r w:rsidR="001211E6">
        <w:rPr>
          <w:rFonts w:ascii="Times New Roman" w:hAnsi="Times New Roman" w:cs="Times New Roman"/>
        </w:rPr>
        <w:t>spécifiant</w:t>
      </w:r>
      <w:r w:rsidR="00CE1C1C">
        <w:rPr>
          <w:rFonts w:ascii="Times New Roman" w:hAnsi="Times New Roman" w:cs="Times New Roman"/>
        </w:rPr>
        <w:t xml:space="preserve"> </w:t>
      </w:r>
      <w:r w:rsidR="00CE1C1C" w:rsidRPr="00E959CC">
        <w:rPr>
          <w:rFonts w:ascii="Times New Roman" w:hAnsi="Times New Roman" w:cs="Times New Roman"/>
          <w:u w:val="single"/>
        </w:rPr>
        <w:t>notamment</w:t>
      </w:r>
      <w:r w:rsidR="00CE1C1C">
        <w:rPr>
          <w:rFonts w:ascii="Times New Roman" w:hAnsi="Times New Roman" w:cs="Times New Roman"/>
        </w:rPr>
        <w:t xml:space="preserve"> : </w:t>
      </w:r>
    </w:p>
    <w:p w:rsidR="00CE1C1C" w:rsidRDefault="00CE1C1C" w:rsidP="00B73D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01B1">
        <w:rPr>
          <w:rFonts w:ascii="Times New Roman" w:hAnsi="Times New Roman" w:cs="Times New Roman"/>
        </w:rPr>
        <w:t xml:space="preserve"> les </w:t>
      </w:r>
      <w:r w:rsidR="001211E6">
        <w:rPr>
          <w:rFonts w:ascii="Times New Roman" w:hAnsi="Times New Roman" w:cs="Times New Roman"/>
        </w:rPr>
        <w:t xml:space="preserve">conditions de déroulement des recherches, </w:t>
      </w:r>
    </w:p>
    <w:p w:rsidR="00CE1C1C" w:rsidRDefault="00CE1C1C" w:rsidP="00B73D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211E6">
        <w:rPr>
          <w:rFonts w:ascii="Times New Roman" w:hAnsi="Times New Roman" w:cs="Times New Roman"/>
        </w:rPr>
        <w:t xml:space="preserve">les </w:t>
      </w:r>
      <w:r w:rsidR="00D801B1">
        <w:rPr>
          <w:rFonts w:ascii="Times New Roman" w:hAnsi="Times New Roman" w:cs="Times New Roman"/>
        </w:rPr>
        <w:t xml:space="preserve">modalités de </w:t>
      </w:r>
      <w:r w:rsidR="00C55ED4">
        <w:rPr>
          <w:rFonts w:ascii="Times New Roman" w:hAnsi="Times New Roman" w:cs="Times New Roman"/>
        </w:rPr>
        <w:t>PI (l’ANRT ne revendique aucun droit)</w:t>
      </w:r>
      <w:r w:rsidR="00E959CC">
        <w:rPr>
          <w:rFonts w:ascii="Times New Roman" w:hAnsi="Times New Roman" w:cs="Times New Roman"/>
        </w:rPr>
        <w:t xml:space="preserve"> et de confidentialité,</w:t>
      </w:r>
    </w:p>
    <w:p w:rsidR="00CE1C1C" w:rsidRDefault="00CE1C1C" w:rsidP="00B73D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801B1">
        <w:rPr>
          <w:rFonts w:ascii="Times New Roman" w:hAnsi="Times New Roman" w:cs="Times New Roman"/>
        </w:rPr>
        <w:t xml:space="preserve">le financement des travaux, </w:t>
      </w:r>
    </w:p>
    <w:p w:rsidR="00FD7C8F" w:rsidRDefault="00CE1C1C" w:rsidP="00B73D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801B1">
        <w:rPr>
          <w:rFonts w:ascii="Times New Roman" w:hAnsi="Times New Roman" w:cs="Times New Roman"/>
        </w:rPr>
        <w:t xml:space="preserve">la répartition du temps de </w:t>
      </w:r>
      <w:r w:rsidR="00E959CC">
        <w:rPr>
          <w:rFonts w:ascii="Times New Roman" w:hAnsi="Times New Roman" w:cs="Times New Roman"/>
        </w:rPr>
        <w:t xml:space="preserve">présence du doctorant entre </w:t>
      </w:r>
      <w:r w:rsidR="000A2984">
        <w:rPr>
          <w:rFonts w:ascii="Times New Roman" w:hAnsi="Times New Roman" w:cs="Times New Roman"/>
        </w:rPr>
        <w:t>l’entreprise</w:t>
      </w:r>
      <w:r w:rsidR="00E959CC">
        <w:rPr>
          <w:rFonts w:ascii="Times New Roman" w:hAnsi="Times New Roman" w:cs="Times New Roman"/>
        </w:rPr>
        <w:t xml:space="preserve"> </w:t>
      </w:r>
      <w:r w:rsidR="00ED02C9">
        <w:rPr>
          <w:rFonts w:ascii="Times New Roman" w:hAnsi="Times New Roman" w:cs="Times New Roman"/>
        </w:rPr>
        <w:t xml:space="preserve">(min. 20%) </w:t>
      </w:r>
      <w:r w:rsidR="00D801B1">
        <w:rPr>
          <w:rFonts w:ascii="Times New Roman" w:hAnsi="Times New Roman" w:cs="Times New Roman"/>
        </w:rPr>
        <w:t xml:space="preserve">et </w:t>
      </w:r>
      <w:r w:rsidR="00E959CC">
        <w:rPr>
          <w:rFonts w:ascii="Times New Roman" w:hAnsi="Times New Roman" w:cs="Times New Roman"/>
        </w:rPr>
        <w:t>le</w:t>
      </w:r>
      <w:r w:rsidR="00D801B1">
        <w:rPr>
          <w:rFonts w:ascii="Times New Roman" w:hAnsi="Times New Roman" w:cs="Times New Roman"/>
        </w:rPr>
        <w:t xml:space="preserve"> laboratoire</w:t>
      </w:r>
      <w:r w:rsidR="00ED02C9">
        <w:rPr>
          <w:rFonts w:ascii="Times New Roman" w:hAnsi="Times New Roman" w:cs="Times New Roman"/>
        </w:rPr>
        <w:t xml:space="preserve"> (min. 20%)</w:t>
      </w:r>
      <w:r w:rsidR="00D801B1">
        <w:rPr>
          <w:rFonts w:ascii="Times New Roman" w:hAnsi="Times New Roman" w:cs="Times New Roman"/>
        </w:rPr>
        <w:t>.</w:t>
      </w:r>
    </w:p>
    <w:p w:rsidR="00E959CC" w:rsidRDefault="00E959CC" w:rsidP="00B73D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3DF9" w:rsidRPr="005D3DF9" w:rsidRDefault="005D3DF9" w:rsidP="005D3DF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D3DF9">
        <w:rPr>
          <w:rFonts w:ascii="Times New Roman" w:hAnsi="Times New Roman" w:cs="Times New Roman"/>
          <w:b/>
          <w:u w:val="single"/>
        </w:rPr>
        <w:t xml:space="preserve">Versements de la subvention </w:t>
      </w:r>
    </w:p>
    <w:p w:rsidR="005D3DF9" w:rsidRPr="005D3DF9" w:rsidRDefault="005D3DF9" w:rsidP="005D3DF9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:rsidR="00B73DCD" w:rsidRPr="00D67F4D" w:rsidRDefault="0091427C" w:rsidP="00B73D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7F4D">
        <w:rPr>
          <w:rFonts w:ascii="Times New Roman" w:hAnsi="Times New Roman" w:cs="Times New Roman"/>
        </w:rPr>
        <w:t xml:space="preserve">Les </w:t>
      </w:r>
      <w:r w:rsidR="00B73DCD" w:rsidRPr="00D67F4D">
        <w:rPr>
          <w:rFonts w:ascii="Times New Roman" w:hAnsi="Times New Roman" w:cs="Times New Roman"/>
        </w:rPr>
        <w:t>versement</w:t>
      </w:r>
      <w:r w:rsidRPr="00D67F4D">
        <w:rPr>
          <w:rFonts w:ascii="Times New Roman" w:hAnsi="Times New Roman" w:cs="Times New Roman"/>
        </w:rPr>
        <w:t>s</w:t>
      </w:r>
      <w:r w:rsidR="00D67F4D">
        <w:rPr>
          <w:rFonts w:ascii="Times New Roman" w:hAnsi="Times New Roman" w:cs="Times New Roman"/>
        </w:rPr>
        <w:t xml:space="preserve"> de la subvention </w:t>
      </w:r>
      <w:r w:rsidRPr="00D67F4D">
        <w:rPr>
          <w:rFonts w:ascii="Times New Roman" w:hAnsi="Times New Roman" w:cs="Times New Roman"/>
        </w:rPr>
        <w:t>sont</w:t>
      </w:r>
      <w:r w:rsidR="00B73DCD" w:rsidRPr="00D67F4D">
        <w:rPr>
          <w:rFonts w:ascii="Times New Roman" w:hAnsi="Times New Roman" w:cs="Times New Roman"/>
        </w:rPr>
        <w:t xml:space="preserve"> conditionné</w:t>
      </w:r>
      <w:r w:rsidRPr="00D67F4D">
        <w:rPr>
          <w:rFonts w:ascii="Times New Roman" w:hAnsi="Times New Roman" w:cs="Times New Roman"/>
        </w:rPr>
        <w:t>s</w:t>
      </w:r>
      <w:r w:rsidR="00B73DCD" w:rsidRPr="00D67F4D">
        <w:rPr>
          <w:rFonts w:ascii="Times New Roman" w:hAnsi="Times New Roman" w:cs="Times New Roman"/>
        </w:rPr>
        <w:t xml:space="preserve"> </w:t>
      </w:r>
      <w:r w:rsidRPr="00D67F4D">
        <w:rPr>
          <w:rFonts w:ascii="Times New Roman" w:hAnsi="Times New Roman" w:cs="Times New Roman"/>
        </w:rPr>
        <w:t>par</w:t>
      </w:r>
      <w:r w:rsidR="00B73DCD" w:rsidRPr="00D67F4D">
        <w:rPr>
          <w:rFonts w:ascii="Times New Roman" w:hAnsi="Times New Roman" w:cs="Times New Roman"/>
        </w:rPr>
        <w:t xml:space="preserve"> la réception </w:t>
      </w:r>
      <w:r w:rsidR="00D67F4D">
        <w:rPr>
          <w:rFonts w:ascii="Times New Roman" w:hAnsi="Times New Roman" w:cs="Times New Roman"/>
        </w:rPr>
        <w:t xml:space="preserve">par l’ANRT </w:t>
      </w:r>
      <w:r w:rsidR="00B73DCD" w:rsidRPr="00D67F4D">
        <w:rPr>
          <w:rFonts w:ascii="Times New Roman" w:hAnsi="Times New Roman" w:cs="Times New Roman"/>
        </w:rPr>
        <w:t xml:space="preserve">de : </w:t>
      </w:r>
    </w:p>
    <w:p w:rsidR="00B73DCD" w:rsidRDefault="00B73DCD" w:rsidP="00B73D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l’attestation d’inscription en formation doctorale</w:t>
      </w:r>
      <w:r w:rsidR="0091427C">
        <w:rPr>
          <w:rFonts w:ascii="Times New Roman" w:hAnsi="Times New Roman" w:cs="Times New Roman"/>
        </w:rPr>
        <w:t>,</w:t>
      </w:r>
    </w:p>
    <w:p w:rsidR="00C52A71" w:rsidRDefault="00C52A71" w:rsidP="00B73D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la copie du CDD ou CDI du doctorant,</w:t>
      </w:r>
    </w:p>
    <w:p w:rsidR="0091427C" w:rsidRDefault="0091427C" w:rsidP="0091427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l’autorisation de travail pour les </w:t>
      </w:r>
      <w:r w:rsidR="00412767">
        <w:rPr>
          <w:rFonts w:ascii="Times New Roman" w:hAnsi="Times New Roman" w:cs="Times New Roman"/>
        </w:rPr>
        <w:t xml:space="preserve">ressortissants </w:t>
      </w:r>
      <w:r>
        <w:rPr>
          <w:rFonts w:ascii="Times New Roman" w:hAnsi="Times New Roman" w:cs="Times New Roman"/>
        </w:rPr>
        <w:t xml:space="preserve">étrangers, </w:t>
      </w:r>
    </w:p>
    <w:p w:rsidR="00B73DCD" w:rsidRDefault="00B73DCD" w:rsidP="00B73D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la copie du contrat de collaboration signé au plus tard </w:t>
      </w:r>
      <w:r w:rsidR="00367F0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mois à </w:t>
      </w:r>
      <w:r w:rsidR="00367F0B">
        <w:rPr>
          <w:rFonts w:ascii="Times New Roman" w:hAnsi="Times New Roman" w:cs="Times New Roman"/>
        </w:rPr>
        <w:t>compter</w:t>
      </w:r>
      <w:r>
        <w:rPr>
          <w:rFonts w:ascii="Times New Roman" w:hAnsi="Times New Roman" w:cs="Times New Roman"/>
        </w:rPr>
        <w:t xml:space="preserve"> du début de la CIFRE</w:t>
      </w:r>
      <w:r w:rsidR="0091427C">
        <w:rPr>
          <w:rFonts w:ascii="Times New Roman" w:hAnsi="Times New Roman" w:cs="Times New Roman"/>
        </w:rPr>
        <w:t>,</w:t>
      </w:r>
    </w:p>
    <w:p w:rsidR="0091427C" w:rsidRDefault="0091427C" w:rsidP="00B73D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les rapports d’activité intermédiaires et fin</w:t>
      </w:r>
      <w:r w:rsidR="008A0590">
        <w:rPr>
          <w:rFonts w:ascii="Times New Roman" w:hAnsi="Times New Roman" w:cs="Times New Roman"/>
        </w:rPr>
        <w:t>aux</w:t>
      </w:r>
      <w:r>
        <w:rPr>
          <w:rFonts w:ascii="Times New Roman" w:hAnsi="Times New Roman" w:cs="Times New Roman"/>
        </w:rPr>
        <w:t xml:space="preserve"> </w:t>
      </w:r>
    </w:p>
    <w:p w:rsidR="0091427C" w:rsidRPr="00CF2CC5" w:rsidRDefault="0091427C" w:rsidP="00B73D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55ED4" w:rsidRPr="00C55ED4" w:rsidRDefault="00CF2CC5" w:rsidP="009B520C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</w:t>
      </w:r>
      <w:r w:rsidR="00525906">
        <w:rPr>
          <w:rFonts w:ascii="Times New Roman" w:hAnsi="Times New Roman" w:cs="Times New Roman"/>
          <w:b/>
          <w:u w:val="single"/>
        </w:rPr>
        <w:t xml:space="preserve">. </w:t>
      </w:r>
      <w:r w:rsidR="00C55ED4">
        <w:rPr>
          <w:rFonts w:ascii="Times New Roman" w:hAnsi="Times New Roman" w:cs="Times New Roman"/>
          <w:b/>
          <w:u w:val="single"/>
        </w:rPr>
        <w:t xml:space="preserve">Causes de </w:t>
      </w:r>
      <w:r w:rsidR="0088097F">
        <w:rPr>
          <w:rFonts w:ascii="Times New Roman" w:hAnsi="Times New Roman" w:cs="Times New Roman"/>
          <w:b/>
          <w:u w:val="single"/>
        </w:rPr>
        <w:t>résiliation</w:t>
      </w:r>
      <w:r w:rsidR="00C55ED4" w:rsidRPr="00C55ED4">
        <w:rPr>
          <w:rFonts w:ascii="Times New Roman" w:hAnsi="Times New Roman" w:cs="Times New Roman"/>
          <w:b/>
          <w:u w:val="single"/>
        </w:rPr>
        <w:t xml:space="preserve"> de la CIFRE</w:t>
      </w:r>
    </w:p>
    <w:p w:rsidR="00C55ED4" w:rsidRDefault="00C55ED4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5ED4" w:rsidRDefault="00525906" w:rsidP="00B902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7F4D">
        <w:rPr>
          <w:rFonts w:ascii="Times New Roman" w:hAnsi="Times New Roman" w:cs="Times New Roman"/>
          <w:sz w:val="18"/>
          <w:szCs w:val="18"/>
        </w:rPr>
        <w:t xml:space="preserve">● </w:t>
      </w:r>
      <w:r w:rsidR="00C55ED4">
        <w:rPr>
          <w:rFonts w:ascii="Times New Roman" w:hAnsi="Times New Roman" w:cs="Times New Roman"/>
        </w:rPr>
        <w:t>a</w:t>
      </w:r>
      <w:r w:rsidR="00B90224">
        <w:rPr>
          <w:rFonts w:ascii="Times New Roman" w:hAnsi="Times New Roman" w:cs="Times New Roman"/>
        </w:rPr>
        <w:t>bandon de la formation doctorale</w:t>
      </w:r>
      <w:r w:rsidR="0088097F">
        <w:rPr>
          <w:rFonts w:ascii="Times New Roman" w:hAnsi="Times New Roman" w:cs="Times New Roman"/>
        </w:rPr>
        <w:t> par le doctorant ;</w:t>
      </w:r>
    </w:p>
    <w:p w:rsidR="00C55ED4" w:rsidRDefault="00525906" w:rsidP="00B902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7F4D">
        <w:rPr>
          <w:rFonts w:ascii="Times New Roman" w:hAnsi="Times New Roman" w:cs="Times New Roman"/>
          <w:sz w:val="18"/>
          <w:szCs w:val="18"/>
        </w:rPr>
        <w:t>●</w:t>
      </w:r>
      <w:r w:rsidR="00C55ED4">
        <w:rPr>
          <w:rFonts w:ascii="Times New Roman" w:hAnsi="Times New Roman" w:cs="Times New Roman"/>
        </w:rPr>
        <w:t xml:space="preserve"> </w:t>
      </w:r>
      <w:r w:rsidR="0088097F">
        <w:rPr>
          <w:rFonts w:ascii="Times New Roman" w:hAnsi="Times New Roman" w:cs="Times New Roman"/>
        </w:rPr>
        <w:t>rupture</w:t>
      </w:r>
      <w:r w:rsidR="00B90224">
        <w:rPr>
          <w:rFonts w:ascii="Times New Roman" w:hAnsi="Times New Roman" w:cs="Times New Roman"/>
        </w:rPr>
        <w:t xml:space="preserve"> du </w:t>
      </w:r>
      <w:r w:rsidR="0088097F">
        <w:rPr>
          <w:rFonts w:ascii="Times New Roman" w:hAnsi="Times New Roman" w:cs="Times New Roman"/>
        </w:rPr>
        <w:t>contrat de travail</w:t>
      </w:r>
      <w:r w:rsidR="00B90224">
        <w:rPr>
          <w:rFonts w:ascii="Times New Roman" w:hAnsi="Times New Roman" w:cs="Times New Roman"/>
        </w:rPr>
        <w:t xml:space="preserve"> du doctorant ou du contrat de collaboration</w:t>
      </w:r>
      <w:r w:rsidR="00C55ED4">
        <w:rPr>
          <w:rFonts w:ascii="Times New Roman" w:hAnsi="Times New Roman" w:cs="Times New Roman"/>
        </w:rPr>
        <w:t> ;</w:t>
      </w:r>
    </w:p>
    <w:p w:rsidR="00374D0C" w:rsidRDefault="00525906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7F4D">
        <w:rPr>
          <w:rFonts w:ascii="Times New Roman" w:hAnsi="Times New Roman" w:cs="Times New Roman"/>
          <w:sz w:val="18"/>
          <w:szCs w:val="18"/>
        </w:rPr>
        <w:t>●</w:t>
      </w:r>
      <w:r w:rsidR="00C55ED4" w:rsidRPr="00525906">
        <w:rPr>
          <w:rFonts w:ascii="Times New Roman" w:hAnsi="Times New Roman" w:cs="Times New Roman"/>
          <w:sz w:val="20"/>
          <w:szCs w:val="20"/>
        </w:rPr>
        <w:t xml:space="preserve"> </w:t>
      </w:r>
      <w:r w:rsidR="00C55ED4">
        <w:rPr>
          <w:rFonts w:ascii="Times New Roman" w:hAnsi="Times New Roman" w:cs="Times New Roman"/>
        </w:rPr>
        <w:t>divergences importantes entre les conditions d’octroi et les conditions de réalisation de la CIFRE.</w:t>
      </w:r>
    </w:p>
    <w:p w:rsidR="00525906" w:rsidRDefault="00525906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97F" w:rsidRDefault="0088097F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L’ANRT peut réclamer le reversement de tout ou partie des sommes déjà versées à l’employeur lorsque celui-ci rend la poursuite de la CIFRE impossible par sa faute. </w:t>
      </w:r>
    </w:p>
    <w:p w:rsidR="0088097F" w:rsidRDefault="0088097F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48EB" w:rsidRDefault="00374D0C" w:rsidP="000C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suspension de la CIFRE est possible en cas d’arrêt prolongé des travaux du doctorant (congés maladie, </w:t>
      </w:r>
      <w:r w:rsidR="00D86D31">
        <w:rPr>
          <w:rFonts w:ascii="Times New Roman" w:hAnsi="Times New Roman" w:cs="Times New Roman"/>
        </w:rPr>
        <w:t xml:space="preserve">maternité, </w:t>
      </w:r>
      <w:r>
        <w:rPr>
          <w:rFonts w:ascii="Times New Roman" w:hAnsi="Times New Roman" w:cs="Times New Roman"/>
        </w:rPr>
        <w:t>etc.).</w:t>
      </w:r>
    </w:p>
    <w:p w:rsidR="004C7668" w:rsidRPr="00CF2CC5" w:rsidRDefault="004C7668" w:rsidP="000C0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1A" w:rsidRPr="00D6031A" w:rsidRDefault="00D6031A" w:rsidP="009B520C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VI. </w:t>
      </w:r>
      <w:r w:rsidR="000F1D9E">
        <w:rPr>
          <w:rFonts w:ascii="Times New Roman" w:hAnsi="Times New Roman" w:cs="Times New Roman"/>
          <w:b/>
          <w:u w:val="single"/>
        </w:rPr>
        <w:t>Procédure</w:t>
      </w:r>
      <w:r w:rsidRPr="00D6031A">
        <w:rPr>
          <w:rFonts w:ascii="Times New Roman" w:hAnsi="Times New Roman" w:cs="Times New Roman"/>
          <w:b/>
          <w:u w:val="single"/>
        </w:rPr>
        <w:t xml:space="preserve"> CIFRE à l’IP </w:t>
      </w:r>
    </w:p>
    <w:p w:rsidR="00D6031A" w:rsidRPr="00B035C3" w:rsidRDefault="00D6031A" w:rsidP="00D603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F55" w:rsidRDefault="00AE4F55" w:rsidP="00AE4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F55" w:rsidRDefault="00AE4F55" w:rsidP="00AE4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F55" w:rsidRDefault="00AE4F55" w:rsidP="00AE4F5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Intervenants à l’IP :</w:t>
      </w:r>
    </w:p>
    <w:p w:rsidR="00AE4F55" w:rsidRDefault="00AE4F55" w:rsidP="00AE4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F55" w:rsidRDefault="00AE4F55" w:rsidP="00AE4F5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MAASCC</w:t>
      </w:r>
      <w:r>
        <w:rPr>
          <w:rFonts w:ascii="Times New Roman" w:hAnsi="Times New Roman" w:cs="Times New Roman"/>
        </w:rPr>
        <w:t> : Nathalie Court-Lecuyer – Mariana Mesel – Lemoine</w:t>
      </w:r>
    </w:p>
    <w:p w:rsidR="00AE4F55" w:rsidRDefault="00AE4F55" w:rsidP="00AE4F5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DARRI</w:t>
      </w:r>
      <w:r>
        <w:rPr>
          <w:rFonts w:ascii="Times New Roman" w:hAnsi="Times New Roman" w:cs="Times New Roman"/>
        </w:rPr>
        <w:t> : Claire Héritier – Lamia Aroun – Camille Tribout</w:t>
      </w:r>
    </w:p>
    <w:p w:rsidR="00AE4F55" w:rsidRDefault="00AE4F55" w:rsidP="00AE4F5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DRH </w:t>
      </w:r>
    </w:p>
    <w:p w:rsidR="00AE4F55" w:rsidRDefault="00AE4F55" w:rsidP="00AE4F55">
      <w:pPr>
        <w:pStyle w:val="Paragraphedeliste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GAP OREX : Cédric Alexis – Françoise Hernandez – Muriel Robert – Anne-Marie Petit – Lorça Gourgue</w:t>
      </w:r>
    </w:p>
    <w:p w:rsidR="00AE4F55" w:rsidRDefault="00AE4F55" w:rsidP="00AE4F55">
      <w:pPr>
        <w:pStyle w:val="Paragraphedeliste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AJIRH : Camille Baussay – Sandrine Daniel </w:t>
      </w:r>
    </w:p>
    <w:p w:rsidR="00AE4F55" w:rsidRDefault="00AE4F55" w:rsidP="00AE4F5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DDE</w:t>
      </w:r>
      <w:r>
        <w:rPr>
          <w:rFonts w:ascii="Times New Roman" w:hAnsi="Times New Roman" w:cs="Times New Roman"/>
        </w:rPr>
        <w:t> : Monica Sala – Oumaïma Granet</w:t>
      </w:r>
    </w:p>
    <w:p w:rsidR="00AE4F55" w:rsidRDefault="00AE4F55" w:rsidP="00AE4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F55" w:rsidRDefault="00AE4F55" w:rsidP="00AE4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F55" w:rsidRDefault="00AE4F55" w:rsidP="00AE4F5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Les étapes de suivi : le rôle de chaque entité à l’IP :</w:t>
      </w:r>
    </w:p>
    <w:p w:rsidR="00AE4F55" w:rsidRDefault="00AE4F55" w:rsidP="00AE4F5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AE4F55" w:rsidRDefault="00AE4F55" w:rsidP="00AE4F55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unités adressent les demandes d’accueil avec la mention CIFRE</w:t>
      </w:r>
      <w:r w:rsidR="004315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 la GAP Orex</w:t>
      </w:r>
    </w:p>
    <w:p w:rsidR="00AE4F55" w:rsidRDefault="00AE4F55" w:rsidP="00AE4F55">
      <w:pPr>
        <w:pStyle w:val="Paragraphedeliste"/>
        <w:spacing w:after="0" w:line="240" w:lineRule="auto"/>
        <w:jc w:val="both"/>
        <w:rPr>
          <w:rFonts w:ascii="Times New Roman" w:hAnsi="Times New Roman" w:cs="Times New Roman"/>
        </w:rPr>
      </w:pPr>
    </w:p>
    <w:p w:rsidR="004315E4" w:rsidRPr="005D5E75" w:rsidRDefault="00AE4F55" w:rsidP="004315E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15E4">
        <w:rPr>
          <w:rFonts w:ascii="Times New Roman" w:hAnsi="Times New Roman" w:cs="Times New Roman"/>
        </w:rPr>
        <w:t xml:space="preserve"> </w:t>
      </w:r>
      <w:r w:rsidR="004315E4">
        <w:rPr>
          <w:rFonts w:ascii="Times New Roman" w:hAnsi="Times New Roman" w:cs="Times New Roman"/>
        </w:rPr>
        <w:t>L</w:t>
      </w:r>
      <w:r w:rsidRPr="004315E4">
        <w:rPr>
          <w:rFonts w:ascii="Times New Roman" w:hAnsi="Times New Roman" w:cs="Times New Roman"/>
        </w:rPr>
        <w:t>a MAASCC</w:t>
      </w:r>
      <w:r w:rsidR="002A3C9F" w:rsidRPr="004315E4">
        <w:rPr>
          <w:rFonts w:ascii="Times New Roman" w:hAnsi="Times New Roman" w:cs="Times New Roman"/>
        </w:rPr>
        <w:t xml:space="preserve"> avec l’appui de la direction d’enseignement </w:t>
      </w:r>
      <w:r w:rsidR="004315E4" w:rsidRPr="004315E4">
        <w:rPr>
          <w:rFonts w:ascii="Times New Roman" w:hAnsi="Times New Roman" w:cs="Times New Roman"/>
        </w:rPr>
        <w:t xml:space="preserve"> apporte </w:t>
      </w:r>
      <w:r w:rsidR="008A0590">
        <w:rPr>
          <w:rFonts w:ascii="Times New Roman" w:hAnsi="Times New Roman" w:cs="Times New Roman"/>
        </w:rPr>
        <w:t xml:space="preserve">les </w:t>
      </w:r>
      <w:r w:rsidRPr="004315E4">
        <w:rPr>
          <w:rFonts w:ascii="Times New Roman" w:hAnsi="Times New Roman" w:cs="Times New Roman"/>
        </w:rPr>
        <w:t>conseils sur le montage des dossiers administratifs  pour les étudiants et les chercheurs.</w:t>
      </w:r>
      <w:r w:rsidR="004315E4" w:rsidRPr="004315E4">
        <w:rPr>
          <w:rFonts w:ascii="Times New Roman" w:hAnsi="Times New Roman" w:cs="Times New Roman"/>
        </w:rPr>
        <w:t xml:space="preserve"> Par ailleurs, nous proposons </w:t>
      </w:r>
      <w:r w:rsidR="005D5E75">
        <w:rPr>
          <w:rFonts w:ascii="Times New Roman" w:hAnsi="Times New Roman" w:cs="Times New Roman"/>
        </w:rPr>
        <w:t>la création d’</w:t>
      </w:r>
      <w:r w:rsidR="004315E4" w:rsidRPr="004315E4">
        <w:rPr>
          <w:rFonts w:ascii="Times New Roman" w:hAnsi="Times New Roman" w:cs="Times New Roman"/>
        </w:rPr>
        <w:t>une boite mail «  CIFRE@pasteur.</w:t>
      </w:r>
      <w:r w:rsidR="005D5E75">
        <w:rPr>
          <w:rFonts w:ascii="Times New Roman" w:hAnsi="Times New Roman" w:cs="Times New Roman"/>
        </w:rPr>
        <w:t>fr</w:t>
      </w:r>
      <w:r w:rsidR="004315E4" w:rsidRPr="004315E4">
        <w:rPr>
          <w:rFonts w:ascii="Times New Roman" w:hAnsi="Times New Roman" w:cs="Times New Roman"/>
        </w:rPr>
        <w:t xml:space="preserve"> afin d</w:t>
      </w:r>
      <w:r w:rsidR="005D5E75">
        <w:rPr>
          <w:rFonts w:ascii="Times New Roman" w:hAnsi="Times New Roman" w:cs="Times New Roman"/>
        </w:rPr>
        <w:t>e faciliter la prise de contact</w:t>
      </w:r>
      <w:r w:rsidR="004315E4" w:rsidRPr="004315E4">
        <w:rPr>
          <w:rFonts w:ascii="Times New Roman" w:hAnsi="Times New Roman" w:cs="Times New Roman"/>
        </w:rPr>
        <w:t xml:space="preserve">  </w:t>
      </w:r>
      <w:r w:rsidRPr="004315E4">
        <w:rPr>
          <w:rFonts w:ascii="Times New Roman" w:hAnsi="Times New Roman" w:cs="Times New Roman"/>
        </w:rPr>
        <w:t xml:space="preserve"> </w:t>
      </w:r>
    </w:p>
    <w:p w:rsidR="008A0590" w:rsidRDefault="00AE4F55" w:rsidP="00AE4F55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la MAASCC oriente les intéressés sur la DARRI pour la rédaction des contrats de collaboratio</w:t>
      </w:r>
      <w:r w:rsidR="008A059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</w:p>
    <w:p w:rsidR="005D5E75" w:rsidRDefault="005D5E75" w:rsidP="005D5E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E4F55" w:rsidRPr="005D5E75" w:rsidRDefault="00AE4F55" w:rsidP="005D5E7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D5E75">
        <w:rPr>
          <w:rFonts w:ascii="Times New Roman" w:hAnsi="Times New Roman" w:cs="Times New Roman"/>
        </w:rPr>
        <w:t>Deux possibilités :</w:t>
      </w:r>
    </w:p>
    <w:p w:rsidR="00AE4F55" w:rsidRDefault="00AE4F55" w:rsidP="00AE4F5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</w:p>
    <w:p w:rsidR="005D5E75" w:rsidRDefault="00AE4F55" w:rsidP="005D5E75">
      <w:pPr>
        <w:pStyle w:val="Paragraphedeliste"/>
        <w:numPr>
          <w:ilvl w:val="1"/>
          <w:numId w:val="13"/>
        </w:numPr>
        <w:spacing w:after="0" w:line="240" w:lineRule="auto"/>
        <w:ind w:firstLine="350"/>
        <w:jc w:val="both"/>
        <w:rPr>
          <w:rFonts w:ascii="Times New Roman" w:hAnsi="Times New Roman" w:cs="Times New Roman"/>
        </w:rPr>
      </w:pPr>
      <w:r w:rsidRPr="005D5E75">
        <w:rPr>
          <w:rFonts w:ascii="Times New Roman" w:hAnsi="Times New Roman" w:cs="Times New Roman"/>
          <w:u w:val="single"/>
        </w:rPr>
        <w:t>Process classique</w:t>
      </w:r>
      <w:r w:rsidRPr="005D5E75">
        <w:rPr>
          <w:rFonts w:ascii="Times New Roman" w:hAnsi="Times New Roman" w:cs="Times New Roman"/>
        </w:rPr>
        <w:t xml:space="preserve"> : </w:t>
      </w:r>
    </w:p>
    <w:p w:rsidR="005D5E75" w:rsidRDefault="005D5E75" w:rsidP="005D5E75">
      <w:pPr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E4F55" w:rsidRPr="005D5E75" w:rsidRDefault="005D5E75" w:rsidP="005D5E75">
      <w:pPr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5D5E75">
        <w:rPr>
          <w:rFonts w:ascii="Times New Roman" w:hAnsi="Times New Roman" w:cs="Times New Roman"/>
        </w:rPr>
        <w:t>L</w:t>
      </w:r>
      <w:r w:rsidR="00AE4F55" w:rsidRPr="005D5E75">
        <w:rPr>
          <w:rFonts w:ascii="Times New Roman" w:hAnsi="Times New Roman" w:cs="Times New Roman"/>
        </w:rPr>
        <w:t xml:space="preserve">e contrat de travail et le contrat de collaboration débutent à la même date. Dans ce cas, le contrat de collaboration prévoit les dispositions relatives à l’accueil  de salariés ;  la DARRI mettra en place le contrat de collaboration avec l’industriel en incluant les clauses RH  notamment. (Pas de </w:t>
      </w:r>
      <w:r w:rsidRPr="005D5E75">
        <w:rPr>
          <w:rFonts w:ascii="Times New Roman" w:hAnsi="Times New Roman" w:cs="Times New Roman"/>
        </w:rPr>
        <w:t>convention</w:t>
      </w:r>
      <w:r w:rsidR="00AE4F55" w:rsidRPr="005D5E75">
        <w:rPr>
          <w:rFonts w:ascii="Times New Roman" w:hAnsi="Times New Roman" w:cs="Times New Roman"/>
        </w:rPr>
        <w:t xml:space="preserve"> d’accueil).</w:t>
      </w:r>
    </w:p>
    <w:p w:rsidR="008A0590" w:rsidRPr="005D5E75" w:rsidRDefault="008A0590" w:rsidP="005D5E75">
      <w:pPr>
        <w:pStyle w:val="Paragraphedeliste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E4F55" w:rsidRDefault="00AE4F55">
      <w:pPr>
        <w:pStyle w:val="Paragraphedeliste"/>
        <w:numPr>
          <w:ilvl w:val="1"/>
          <w:numId w:val="13"/>
        </w:numPr>
        <w:ind w:left="2127" w:hanging="709"/>
        <w:rPr>
          <w:rFonts w:ascii="Times New Roman" w:hAnsi="Times New Roman" w:cs="Times New Roman"/>
          <w:u w:val="single"/>
        </w:rPr>
        <w:pPrChange w:id="0" w:author="Camille Tribout" w:date="2017-05-16T14:52:00Z">
          <w:pPr>
            <w:pStyle w:val="Paragraphedeliste"/>
          </w:pPr>
        </w:pPrChange>
      </w:pPr>
      <w:r w:rsidRPr="005D5E75">
        <w:rPr>
          <w:rFonts w:ascii="Times New Roman" w:hAnsi="Times New Roman" w:cs="Times New Roman"/>
          <w:u w:val="single"/>
        </w:rPr>
        <w:t xml:space="preserve">Process divergent : </w:t>
      </w:r>
    </w:p>
    <w:p w:rsidR="005D5E75" w:rsidRPr="005D5E75" w:rsidRDefault="005D5E75">
      <w:pPr>
        <w:pStyle w:val="Paragraphedeliste"/>
        <w:ind w:left="1068"/>
        <w:rPr>
          <w:rFonts w:ascii="Times New Roman" w:hAnsi="Times New Roman" w:cs="Times New Roman"/>
          <w:u w:val="single"/>
        </w:rPr>
        <w:pPrChange w:id="1" w:author="Camille Tribout" w:date="2017-05-16T14:52:00Z">
          <w:pPr>
            <w:pStyle w:val="Paragraphedeliste"/>
            <w:ind w:left="0"/>
          </w:pPr>
        </w:pPrChange>
      </w:pPr>
    </w:p>
    <w:p w:rsidR="00AE4F55" w:rsidRDefault="00AE4F55" w:rsidP="00AE4F55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contrat de travail est signé avant le contrat de collaboration (CIFRE acceptée par l’ANRT) : Une convention d’accueil simplifiée est mise en place par GAP Orex selon </w:t>
      </w:r>
      <w:r w:rsidR="008A0590"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</w:rPr>
        <w:t>modèle transmis par AJIRH, puis un contrat de collaboration rédigé par la DARRI sera conclu dans les 6 mois suivant la date d’effet de la CIFRE.</w:t>
      </w:r>
    </w:p>
    <w:p w:rsidR="00AE4F55" w:rsidRDefault="00AE4F55" w:rsidP="00AE4F55">
      <w:pPr>
        <w:pStyle w:val="Paragraphedeliste"/>
        <w:spacing w:after="0" w:line="240" w:lineRule="auto"/>
        <w:ind w:left="1800"/>
        <w:jc w:val="both"/>
        <w:rPr>
          <w:rFonts w:ascii="Times New Roman" w:hAnsi="Times New Roman" w:cs="Times New Roman"/>
        </w:rPr>
      </w:pPr>
    </w:p>
    <w:p w:rsidR="00AE4F55" w:rsidRDefault="00AE4F55" w:rsidP="00AE4F55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contrat de collaboration est négocié par un autre organisme (cas des unités mixtes).Une convention d’accueil </w:t>
      </w:r>
      <w:r w:rsidR="008A0590">
        <w:rPr>
          <w:rFonts w:ascii="Times New Roman" w:hAnsi="Times New Roman" w:cs="Times New Roman"/>
        </w:rPr>
        <w:t xml:space="preserve">est mise en place </w:t>
      </w:r>
      <w:r>
        <w:rPr>
          <w:rFonts w:ascii="Times New Roman" w:hAnsi="Times New Roman" w:cs="Times New Roman"/>
        </w:rPr>
        <w:t>par GAP Orex selon modèle transmis par AJIRH ; pas de contrat de collaboration par la DARRI.</w:t>
      </w:r>
    </w:p>
    <w:p w:rsidR="00AE4F55" w:rsidRDefault="00AE4F55" w:rsidP="00AE4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F55" w:rsidRDefault="00AE4F55" w:rsidP="00AE4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F55" w:rsidRDefault="00AE4F55" w:rsidP="000C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F55" w:rsidRDefault="00AE4F55" w:rsidP="004137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1D9E" w:rsidRDefault="000F1D9E" w:rsidP="004137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1D9E" w:rsidRDefault="000F1D9E" w:rsidP="000F1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doctorants bénéficiaires d’une CIFRE sont</w:t>
      </w:r>
      <w:r w:rsidRPr="00B035C3">
        <w:rPr>
          <w:rFonts w:ascii="Times New Roman" w:hAnsi="Times New Roman" w:cs="Times New Roman"/>
        </w:rPr>
        <w:t xml:space="preserve"> accueilli</w:t>
      </w:r>
      <w:r>
        <w:rPr>
          <w:rFonts w:ascii="Times New Roman" w:hAnsi="Times New Roman" w:cs="Times New Roman"/>
        </w:rPr>
        <w:t>s</w:t>
      </w:r>
      <w:r w:rsidRPr="00B035C3">
        <w:rPr>
          <w:rFonts w:ascii="Times New Roman" w:hAnsi="Times New Roman" w:cs="Times New Roman"/>
        </w:rPr>
        <w:t xml:space="preserve"> en </w:t>
      </w:r>
      <w:r>
        <w:rPr>
          <w:rFonts w:ascii="Times New Roman" w:hAnsi="Times New Roman" w:cs="Times New Roman"/>
        </w:rPr>
        <w:t xml:space="preserve">qualité de salariés </w:t>
      </w:r>
      <w:r w:rsidRPr="00B035C3">
        <w:rPr>
          <w:rFonts w:ascii="Times New Roman" w:hAnsi="Times New Roman" w:cs="Times New Roman"/>
        </w:rPr>
        <w:t xml:space="preserve">OREX </w:t>
      </w:r>
      <w:r>
        <w:rPr>
          <w:rFonts w:ascii="Times New Roman" w:hAnsi="Times New Roman" w:cs="Times New Roman"/>
        </w:rPr>
        <w:t>à l’IP </w:t>
      </w:r>
      <w:r w:rsidR="00B23243">
        <w:rPr>
          <w:rFonts w:ascii="Times New Roman" w:hAnsi="Times New Roman" w:cs="Times New Roman"/>
        </w:rPr>
        <w:t>.</w:t>
      </w:r>
    </w:p>
    <w:p w:rsidR="000F1D9E" w:rsidRDefault="000F1D9E" w:rsidP="000F1D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7AC" w:rsidRDefault="004137AC" w:rsidP="00D6031A">
      <w:pPr>
        <w:spacing w:after="0" w:line="240" w:lineRule="auto"/>
        <w:rPr>
          <w:rFonts w:ascii="Times New Roman" w:hAnsi="Times New Roman" w:cs="Times New Roman"/>
        </w:rPr>
      </w:pPr>
    </w:p>
    <w:p w:rsidR="00D6031A" w:rsidRDefault="002C4DE8" w:rsidP="00D6031A">
      <w:pPr>
        <w:spacing w:after="0" w:line="240" w:lineRule="auto"/>
        <w:rPr>
          <w:rFonts w:ascii="Times New Roman" w:hAnsi="Times New Roman" w:cs="Times New Roman"/>
          <w:i/>
        </w:rPr>
      </w:pPr>
      <w:r w:rsidRPr="00D6031A">
        <w:rPr>
          <w:rFonts w:ascii="Times New Roman" w:hAnsi="Times New Roman" w:cs="Times New Roman"/>
          <w:i/>
        </w:rPr>
        <w:t>Pour en savoir plus</w:t>
      </w:r>
      <w:r w:rsidR="00824696">
        <w:rPr>
          <w:rFonts w:ascii="Times New Roman" w:hAnsi="Times New Roman" w:cs="Times New Roman"/>
          <w:i/>
        </w:rPr>
        <w:t xml:space="preserve"> sur les CIFRE</w:t>
      </w:r>
      <w:r w:rsidR="00D6031A">
        <w:rPr>
          <w:rFonts w:ascii="Times New Roman" w:hAnsi="Times New Roman" w:cs="Times New Roman"/>
          <w:i/>
        </w:rPr>
        <w:t> :</w:t>
      </w:r>
      <w:r w:rsidRPr="00D6031A">
        <w:rPr>
          <w:rFonts w:ascii="Times New Roman" w:hAnsi="Times New Roman" w:cs="Times New Roman"/>
          <w:i/>
        </w:rPr>
        <w:t xml:space="preserve"> </w:t>
      </w:r>
    </w:p>
    <w:p w:rsidR="00D6031A" w:rsidRPr="00D6031A" w:rsidRDefault="00D6031A" w:rsidP="00D6031A">
      <w:pPr>
        <w:spacing w:after="0" w:line="240" w:lineRule="auto"/>
        <w:rPr>
          <w:rFonts w:ascii="Times New Roman" w:hAnsi="Times New Roman" w:cs="Times New Roman"/>
          <w:i/>
        </w:rPr>
      </w:pPr>
      <w:r w:rsidRPr="00525906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i/>
        </w:rPr>
        <w:t xml:space="preserve"> </w:t>
      </w:r>
      <w:hyperlink r:id="rId13" w:history="1">
        <w:r w:rsidRPr="00031387">
          <w:rPr>
            <w:rStyle w:val="Lienhypertexte"/>
            <w:rFonts w:ascii="Times New Roman" w:hAnsi="Times New Roman" w:cs="Times New Roman"/>
          </w:rPr>
          <w:t>http://www.enseignementsup-recherche.gouv.fr/cid22130/les-cifre.html</w:t>
        </w:r>
      </w:hyperlink>
    </w:p>
    <w:p w:rsidR="002C4DE8" w:rsidRDefault="00D6031A" w:rsidP="005259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906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hyperlink r:id="rId14" w:history="1">
        <w:r w:rsidRPr="00031387">
          <w:rPr>
            <w:rStyle w:val="Lienhypertexte"/>
            <w:rFonts w:ascii="Times New Roman" w:hAnsi="Times New Roman" w:cs="Times New Roman"/>
          </w:rPr>
          <w:t>http://www.anrt.asso.fr/fr/espace_cifre/accueil.jsp</w:t>
        </w:r>
      </w:hyperlink>
    </w:p>
    <w:p w:rsidR="00D6031A" w:rsidRDefault="00D6031A" w:rsidP="00D6031A">
      <w:pPr>
        <w:spacing w:after="0" w:line="240" w:lineRule="auto"/>
        <w:rPr>
          <w:rFonts w:ascii="Times New Roman" w:hAnsi="Times New Roman" w:cs="Times New Roman"/>
        </w:rPr>
      </w:pPr>
    </w:p>
    <w:p w:rsidR="005D5E75" w:rsidRDefault="005D5E75" w:rsidP="00D6031A">
      <w:pPr>
        <w:spacing w:after="0" w:line="240" w:lineRule="auto"/>
        <w:rPr>
          <w:rFonts w:ascii="Times New Roman" w:hAnsi="Times New Roman" w:cs="Times New Roman"/>
        </w:rPr>
      </w:pPr>
    </w:p>
    <w:p w:rsidR="005D5E75" w:rsidRDefault="005D5E75" w:rsidP="00D6031A">
      <w:pPr>
        <w:spacing w:after="0" w:line="240" w:lineRule="auto"/>
        <w:rPr>
          <w:rFonts w:ascii="Times New Roman" w:hAnsi="Times New Roman" w:cs="Times New Roman"/>
        </w:rPr>
      </w:pPr>
    </w:p>
    <w:p w:rsidR="005D5E75" w:rsidRDefault="005D5E75" w:rsidP="00D6031A">
      <w:pPr>
        <w:spacing w:after="0" w:line="240" w:lineRule="auto"/>
        <w:rPr>
          <w:rFonts w:ascii="Times New Roman" w:hAnsi="Times New Roman" w:cs="Times New Roman"/>
        </w:rPr>
      </w:pPr>
    </w:p>
    <w:p w:rsidR="005D5E75" w:rsidRDefault="005D5E75" w:rsidP="00D6031A">
      <w:pPr>
        <w:spacing w:after="0" w:line="240" w:lineRule="auto"/>
        <w:rPr>
          <w:rFonts w:ascii="Times New Roman" w:hAnsi="Times New Roman" w:cs="Times New Roman"/>
        </w:rPr>
      </w:pPr>
    </w:p>
    <w:p w:rsidR="005D5E75" w:rsidRDefault="005D5E75" w:rsidP="00D6031A">
      <w:pPr>
        <w:spacing w:after="0" w:line="240" w:lineRule="auto"/>
        <w:rPr>
          <w:rFonts w:ascii="Times New Roman" w:hAnsi="Times New Roman" w:cs="Times New Roman"/>
        </w:rPr>
      </w:pPr>
    </w:p>
    <w:p w:rsidR="005D5E75" w:rsidRDefault="005D5E75" w:rsidP="00D603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80645</wp:posOffset>
                </wp:positionV>
                <wp:extent cx="24479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71924"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05pt,6.35pt" to="322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" strokecolor="#4579b8 [3044]"/>
            </w:pict>
          </mc:Fallback>
        </mc:AlternateContent>
      </w:r>
    </w:p>
    <w:p w:rsidR="005D5E75" w:rsidRPr="00B035C3" w:rsidRDefault="005D5E75" w:rsidP="00D6031A">
      <w:pPr>
        <w:spacing w:after="0" w:line="240" w:lineRule="auto"/>
        <w:rPr>
          <w:rFonts w:ascii="Times New Roman" w:hAnsi="Times New Roman" w:cs="Times New Roman"/>
        </w:rPr>
      </w:pPr>
    </w:p>
    <w:sectPr w:rsidR="005D5E75" w:rsidRPr="00B035C3" w:rsidSect="00F975C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34" w:rsidRDefault="00075F34" w:rsidP="000C0696">
      <w:pPr>
        <w:spacing w:after="0" w:line="240" w:lineRule="auto"/>
      </w:pPr>
      <w:r>
        <w:separator/>
      </w:r>
    </w:p>
  </w:endnote>
  <w:endnote w:type="continuationSeparator" w:id="0">
    <w:p w:rsidR="00075F34" w:rsidRDefault="00075F34" w:rsidP="000C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FB" w:rsidRDefault="00F27CF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0615574"/>
      <w:docPartObj>
        <w:docPartGallery w:val="Page Numbers (Bottom of Page)"/>
        <w:docPartUnique/>
      </w:docPartObj>
    </w:sdtPr>
    <w:sdtEndPr/>
    <w:sdtContent>
      <w:p w:rsidR="00F27CFB" w:rsidRDefault="00E05765" w:rsidP="00E05765">
        <w:pPr>
          <w:pStyle w:val="Pieddepage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i/>
            <w:sz w:val="20"/>
            <w:szCs w:val="20"/>
          </w:rPr>
          <w:t xml:space="preserve">Les </w:t>
        </w:r>
        <w:r w:rsidRPr="00B035C3">
          <w:rPr>
            <w:rFonts w:ascii="Times New Roman" w:hAnsi="Times New Roman" w:cs="Times New Roman"/>
            <w:i/>
            <w:sz w:val="20"/>
            <w:szCs w:val="20"/>
          </w:rPr>
          <w:t>CIFRE</w:t>
        </w:r>
        <w:r w:rsidRPr="00B035C3">
          <w:rPr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t>-</w:t>
        </w:r>
        <w:r w:rsidRPr="00B035C3">
          <w:rPr>
            <w:rFonts w:ascii="Times New Roman" w:hAnsi="Times New Roman" w:cs="Times New Roman"/>
            <w:sz w:val="20"/>
            <w:szCs w:val="20"/>
          </w:rPr>
          <w:t xml:space="preserve"> AJIRH</w:t>
        </w:r>
        <w:r w:rsidR="000F1D9E">
          <w:rPr>
            <w:rFonts w:ascii="Times New Roman" w:hAnsi="Times New Roman" w:cs="Times New Roman"/>
            <w:sz w:val="20"/>
            <w:szCs w:val="20"/>
          </w:rPr>
          <w:t>/DRH</w:t>
        </w:r>
        <w:r w:rsidR="002523D2">
          <w:rPr>
            <w:rFonts w:ascii="Times New Roman" w:hAnsi="Times New Roman" w:cs="Times New Roman"/>
            <w:sz w:val="20"/>
            <w:szCs w:val="20"/>
          </w:rPr>
          <w:t>/DARRI</w:t>
        </w:r>
        <w:r w:rsidR="000F1D9E">
          <w:rPr>
            <w:rFonts w:ascii="Times New Roman" w:hAnsi="Times New Roman" w:cs="Times New Roman"/>
            <w:sz w:val="20"/>
            <w:szCs w:val="20"/>
          </w:rPr>
          <w:t xml:space="preserve"> - </w:t>
        </w:r>
        <w:r w:rsidR="002523D2">
          <w:rPr>
            <w:rFonts w:ascii="Times New Roman" w:hAnsi="Times New Roman" w:cs="Times New Roman"/>
            <w:sz w:val="20"/>
            <w:szCs w:val="20"/>
          </w:rPr>
          <w:t>mai 201</w:t>
        </w:r>
        <w:r w:rsidR="00F27CFB">
          <w:rPr>
            <w:rFonts w:ascii="Times New Roman" w:hAnsi="Times New Roman" w:cs="Times New Roman"/>
            <w:sz w:val="20"/>
            <w:szCs w:val="20"/>
          </w:rPr>
          <w:t>9</w:t>
        </w:r>
        <w:r w:rsidR="00F27CFB">
          <w:rPr>
            <w:rFonts w:ascii="Times New Roman" w:hAnsi="Times New Roman" w:cs="Times New Roman"/>
            <w:sz w:val="20"/>
            <w:szCs w:val="20"/>
          </w:rPr>
          <w:tab/>
        </w:r>
      </w:p>
      <w:p w:rsidR="00E05765" w:rsidRPr="00E05765" w:rsidRDefault="00FE537B" w:rsidP="00F27C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617">
          <w:rPr>
            <w:noProof/>
          </w:rPr>
          <w:t>1</w:t>
        </w:r>
        <w:r>
          <w:fldChar w:fldCharType="end"/>
        </w:r>
      </w:p>
    </w:sdtContent>
  </w:sdt>
  <w:p w:rsidR="00FE537B" w:rsidRDefault="00FE537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FB" w:rsidRDefault="00F27CF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34" w:rsidRDefault="00075F34" w:rsidP="000C0696">
      <w:pPr>
        <w:spacing w:after="0" w:line="240" w:lineRule="auto"/>
      </w:pPr>
      <w:r>
        <w:separator/>
      </w:r>
    </w:p>
  </w:footnote>
  <w:footnote w:type="continuationSeparator" w:id="0">
    <w:p w:rsidR="00075F34" w:rsidRDefault="00075F34" w:rsidP="000C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FB" w:rsidRDefault="00F27CF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FB" w:rsidRDefault="00F27CF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FB" w:rsidRDefault="00F27CF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7FF"/>
    <w:multiLevelType w:val="hybridMultilevel"/>
    <w:tmpl w:val="64520D96"/>
    <w:lvl w:ilvl="0" w:tplc="0A104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0435"/>
    <w:multiLevelType w:val="hybridMultilevel"/>
    <w:tmpl w:val="C1067C04"/>
    <w:lvl w:ilvl="0" w:tplc="23609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C4027"/>
    <w:multiLevelType w:val="hybridMultilevel"/>
    <w:tmpl w:val="9998E0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54E"/>
    <w:multiLevelType w:val="hybridMultilevel"/>
    <w:tmpl w:val="417A5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7316D"/>
    <w:multiLevelType w:val="hybridMultilevel"/>
    <w:tmpl w:val="650A88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E47A4"/>
    <w:multiLevelType w:val="hybridMultilevel"/>
    <w:tmpl w:val="4FAAB5C0"/>
    <w:lvl w:ilvl="0" w:tplc="BC1ABF0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B6548"/>
    <w:multiLevelType w:val="hybridMultilevel"/>
    <w:tmpl w:val="257E94B8"/>
    <w:lvl w:ilvl="0" w:tplc="0A104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57543"/>
    <w:multiLevelType w:val="hybridMultilevel"/>
    <w:tmpl w:val="271824B6"/>
    <w:lvl w:ilvl="0" w:tplc="4D32E956">
      <w:start w:val="1"/>
      <w:numFmt w:val="lowerLetter"/>
      <w:lvlText w:val="%1-"/>
      <w:lvlJc w:val="left"/>
      <w:pPr>
        <w:ind w:left="1080" w:hanging="360"/>
      </w:pPr>
      <w:rPr>
        <w:u w:val="single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F77F9"/>
    <w:multiLevelType w:val="hybridMultilevel"/>
    <w:tmpl w:val="D60060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7123D"/>
    <w:multiLevelType w:val="hybridMultilevel"/>
    <w:tmpl w:val="8526A3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D0447"/>
    <w:multiLevelType w:val="hybridMultilevel"/>
    <w:tmpl w:val="561866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518DE"/>
    <w:multiLevelType w:val="multilevel"/>
    <w:tmpl w:val="873C7D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5AEF4938"/>
    <w:multiLevelType w:val="hybridMultilevel"/>
    <w:tmpl w:val="A7089200"/>
    <w:lvl w:ilvl="0" w:tplc="06EE557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12C2D"/>
    <w:multiLevelType w:val="hybridMultilevel"/>
    <w:tmpl w:val="5ED20A8C"/>
    <w:lvl w:ilvl="0" w:tplc="B9348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144E0"/>
    <w:multiLevelType w:val="hybridMultilevel"/>
    <w:tmpl w:val="5CA0DCFA"/>
    <w:lvl w:ilvl="0" w:tplc="812CD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24C02"/>
    <w:multiLevelType w:val="hybridMultilevel"/>
    <w:tmpl w:val="984075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54596"/>
    <w:multiLevelType w:val="hybridMultilevel"/>
    <w:tmpl w:val="E13EBC1A"/>
    <w:lvl w:ilvl="0" w:tplc="0A104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6674E"/>
    <w:multiLevelType w:val="multilevel"/>
    <w:tmpl w:val="DB760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  <w:u w:val="single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4"/>
  </w:num>
  <w:num w:numId="5">
    <w:abstractNumId w:val="13"/>
  </w:num>
  <w:num w:numId="6">
    <w:abstractNumId w:val="16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  <w:num w:numId="13">
    <w:abstractNumId w:val="17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96"/>
    <w:rsid w:val="00001E5A"/>
    <w:rsid w:val="00010D25"/>
    <w:rsid w:val="00016A08"/>
    <w:rsid w:val="00056B8B"/>
    <w:rsid w:val="00075F34"/>
    <w:rsid w:val="000957BE"/>
    <w:rsid w:val="000A2984"/>
    <w:rsid w:val="000B02C0"/>
    <w:rsid w:val="000C0696"/>
    <w:rsid w:val="000D42AC"/>
    <w:rsid w:val="000D7B30"/>
    <w:rsid w:val="000E3B93"/>
    <w:rsid w:val="000E5A8B"/>
    <w:rsid w:val="000F1D9E"/>
    <w:rsid w:val="001211E6"/>
    <w:rsid w:val="00122C6F"/>
    <w:rsid w:val="00130C9C"/>
    <w:rsid w:val="001376C6"/>
    <w:rsid w:val="00161AB6"/>
    <w:rsid w:val="00165975"/>
    <w:rsid w:val="00175443"/>
    <w:rsid w:val="00176121"/>
    <w:rsid w:val="00182FEA"/>
    <w:rsid w:val="001A39A0"/>
    <w:rsid w:val="001D080B"/>
    <w:rsid w:val="001E7F03"/>
    <w:rsid w:val="00216E9B"/>
    <w:rsid w:val="0022759B"/>
    <w:rsid w:val="0024269C"/>
    <w:rsid w:val="00243617"/>
    <w:rsid w:val="002523D2"/>
    <w:rsid w:val="00254040"/>
    <w:rsid w:val="0025773F"/>
    <w:rsid w:val="00282E2A"/>
    <w:rsid w:val="00283AFC"/>
    <w:rsid w:val="00293559"/>
    <w:rsid w:val="002A3C9F"/>
    <w:rsid w:val="002C4DE8"/>
    <w:rsid w:val="003041DC"/>
    <w:rsid w:val="00357B99"/>
    <w:rsid w:val="00362553"/>
    <w:rsid w:val="00367F0B"/>
    <w:rsid w:val="00374D0C"/>
    <w:rsid w:val="003C3A6C"/>
    <w:rsid w:val="003C5696"/>
    <w:rsid w:val="003E455C"/>
    <w:rsid w:val="003F3CBF"/>
    <w:rsid w:val="004103C3"/>
    <w:rsid w:val="0041042F"/>
    <w:rsid w:val="00410919"/>
    <w:rsid w:val="00412767"/>
    <w:rsid w:val="004137AC"/>
    <w:rsid w:val="004218E6"/>
    <w:rsid w:val="004315E4"/>
    <w:rsid w:val="00456F52"/>
    <w:rsid w:val="004753B0"/>
    <w:rsid w:val="00484A03"/>
    <w:rsid w:val="0048664B"/>
    <w:rsid w:val="004903B5"/>
    <w:rsid w:val="004C64BA"/>
    <w:rsid w:val="004C7668"/>
    <w:rsid w:val="00525906"/>
    <w:rsid w:val="00535842"/>
    <w:rsid w:val="00573A2E"/>
    <w:rsid w:val="00574FFD"/>
    <w:rsid w:val="00575EDA"/>
    <w:rsid w:val="005775B8"/>
    <w:rsid w:val="00585BE4"/>
    <w:rsid w:val="005941EF"/>
    <w:rsid w:val="005A7E67"/>
    <w:rsid w:val="005B3DB6"/>
    <w:rsid w:val="005D2ABB"/>
    <w:rsid w:val="005D3DF9"/>
    <w:rsid w:val="005D46F6"/>
    <w:rsid w:val="005D5E75"/>
    <w:rsid w:val="005E187D"/>
    <w:rsid w:val="005E56C7"/>
    <w:rsid w:val="005F1AEC"/>
    <w:rsid w:val="0062085F"/>
    <w:rsid w:val="006574A4"/>
    <w:rsid w:val="006704A2"/>
    <w:rsid w:val="0067676F"/>
    <w:rsid w:val="006777FA"/>
    <w:rsid w:val="00697447"/>
    <w:rsid w:val="006B5DE4"/>
    <w:rsid w:val="006E33E8"/>
    <w:rsid w:val="00714710"/>
    <w:rsid w:val="00734F69"/>
    <w:rsid w:val="00735BFA"/>
    <w:rsid w:val="00767956"/>
    <w:rsid w:val="007802A3"/>
    <w:rsid w:val="00783E2A"/>
    <w:rsid w:val="007905F0"/>
    <w:rsid w:val="00791543"/>
    <w:rsid w:val="007A2326"/>
    <w:rsid w:val="007B43E1"/>
    <w:rsid w:val="007C0031"/>
    <w:rsid w:val="007D2D87"/>
    <w:rsid w:val="007F0DE8"/>
    <w:rsid w:val="00824696"/>
    <w:rsid w:val="008454B9"/>
    <w:rsid w:val="00845BBE"/>
    <w:rsid w:val="008527AE"/>
    <w:rsid w:val="0088097F"/>
    <w:rsid w:val="00894B2B"/>
    <w:rsid w:val="008A0590"/>
    <w:rsid w:val="008A1DF7"/>
    <w:rsid w:val="008B0A2C"/>
    <w:rsid w:val="008B0E87"/>
    <w:rsid w:val="008B6428"/>
    <w:rsid w:val="008C4DEB"/>
    <w:rsid w:val="008D28EC"/>
    <w:rsid w:val="008F0CB9"/>
    <w:rsid w:val="0091427C"/>
    <w:rsid w:val="00955252"/>
    <w:rsid w:val="009648EB"/>
    <w:rsid w:val="00973E42"/>
    <w:rsid w:val="009768D2"/>
    <w:rsid w:val="00996DDE"/>
    <w:rsid w:val="009B006A"/>
    <w:rsid w:val="009B520C"/>
    <w:rsid w:val="009D2D75"/>
    <w:rsid w:val="009D55D4"/>
    <w:rsid w:val="00A0218B"/>
    <w:rsid w:val="00A12A41"/>
    <w:rsid w:val="00A14CBA"/>
    <w:rsid w:val="00A3235A"/>
    <w:rsid w:val="00A340F4"/>
    <w:rsid w:val="00A52BA3"/>
    <w:rsid w:val="00A6086A"/>
    <w:rsid w:val="00AA3B5F"/>
    <w:rsid w:val="00AC7893"/>
    <w:rsid w:val="00AC7B6A"/>
    <w:rsid w:val="00AD5CE0"/>
    <w:rsid w:val="00AE4F55"/>
    <w:rsid w:val="00B035C3"/>
    <w:rsid w:val="00B042F2"/>
    <w:rsid w:val="00B22C52"/>
    <w:rsid w:val="00B23243"/>
    <w:rsid w:val="00B347E6"/>
    <w:rsid w:val="00B56796"/>
    <w:rsid w:val="00B60941"/>
    <w:rsid w:val="00B61620"/>
    <w:rsid w:val="00B63716"/>
    <w:rsid w:val="00B65F45"/>
    <w:rsid w:val="00B73DCD"/>
    <w:rsid w:val="00B840ED"/>
    <w:rsid w:val="00B90224"/>
    <w:rsid w:val="00B91A74"/>
    <w:rsid w:val="00BF6D3D"/>
    <w:rsid w:val="00C072A7"/>
    <w:rsid w:val="00C52A71"/>
    <w:rsid w:val="00C55ED4"/>
    <w:rsid w:val="00C73DCD"/>
    <w:rsid w:val="00CA5B48"/>
    <w:rsid w:val="00CB000F"/>
    <w:rsid w:val="00CD2A53"/>
    <w:rsid w:val="00CD6EFD"/>
    <w:rsid w:val="00CE1C1C"/>
    <w:rsid w:val="00CE46AD"/>
    <w:rsid w:val="00CE6773"/>
    <w:rsid w:val="00CF2CC5"/>
    <w:rsid w:val="00D01902"/>
    <w:rsid w:val="00D06369"/>
    <w:rsid w:val="00D23433"/>
    <w:rsid w:val="00D32614"/>
    <w:rsid w:val="00D41334"/>
    <w:rsid w:val="00D6031A"/>
    <w:rsid w:val="00D67F4D"/>
    <w:rsid w:val="00D801B1"/>
    <w:rsid w:val="00D86D31"/>
    <w:rsid w:val="00D871E1"/>
    <w:rsid w:val="00D9195C"/>
    <w:rsid w:val="00D920D1"/>
    <w:rsid w:val="00DB05D2"/>
    <w:rsid w:val="00DB39CE"/>
    <w:rsid w:val="00DB7121"/>
    <w:rsid w:val="00DC1B6D"/>
    <w:rsid w:val="00DF78C9"/>
    <w:rsid w:val="00E05765"/>
    <w:rsid w:val="00E07A6B"/>
    <w:rsid w:val="00E1251F"/>
    <w:rsid w:val="00E12B97"/>
    <w:rsid w:val="00E223EB"/>
    <w:rsid w:val="00E33F0F"/>
    <w:rsid w:val="00E568B2"/>
    <w:rsid w:val="00E65941"/>
    <w:rsid w:val="00E8224A"/>
    <w:rsid w:val="00E83FB4"/>
    <w:rsid w:val="00E869AD"/>
    <w:rsid w:val="00E90A92"/>
    <w:rsid w:val="00E95974"/>
    <w:rsid w:val="00E959CC"/>
    <w:rsid w:val="00EA55E9"/>
    <w:rsid w:val="00EA7E84"/>
    <w:rsid w:val="00EC231B"/>
    <w:rsid w:val="00ED02C9"/>
    <w:rsid w:val="00ED0358"/>
    <w:rsid w:val="00EE75C9"/>
    <w:rsid w:val="00EF14A0"/>
    <w:rsid w:val="00EF2F37"/>
    <w:rsid w:val="00EF74EF"/>
    <w:rsid w:val="00F06B49"/>
    <w:rsid w:val="00F07974"/>
    <w:rsid w:val="00F27CFB"/>
    <w:rsid w:val="00F47900"/>
    <w:rsid w:val="00F50DE9"/>
    <w:rsid w:val="00F51E3E"/>
    <w:rsid w:val="00F577E5"/>
    <w:rsid w:val="00F63C9D"/>
    <w:rsid w:val="00F7082A"/>
    <w:rsid w:val="00F71432"/>
    <w:rsid w:val="00F82568"/>
    <w:rsid w:val="00F975C8"/>
    <w:rsid w:val="00FA0C61"/>
    <w:rsid w:val="00FC35C7"/>
    <w:rsid w:val="00FD7B90"/>
    <w:rsid w:val="00FD7C8F"/>
    <w:rsid w:val="00FE537B"/>
    <w:rsid w:val="00FF0583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C9C023-A9DE-42C9-BDE3-D28BB5E8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69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0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696"/>
  </w:style>
  <w:style w:type="paragraph" w:styleId="Pieddepage">
    <w:name w:val="footer"/>
    <w:basedOn w:val="Normal"/>
    <w:link w:val="PieddepageCar"/>
    <w:uiPriority w:val="99"/>
    <w:unhideWhenUsed/>
    <w:rsid w:val="000C0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696"/>
  </w:style>
  <w:style w:type="character" w:styleId="Lienhypertexte">
    <w:name w:val="Hyperlink"/>
    <w:basedOn w:val="Policepardfaut"/>
    <w:uiPriority w:val="99"/>
    <w:unhideWhenUsed/>
    <w:rsid w:val="006B5DE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1A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0E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75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00267752" TargetMode="External"/><Relationship Id="rId13" Type="http://schemas.openxmlformats.org/officeDocument/2006/relationships/hyperlink" Target="http://www.enseignementsup-recherche.gouv.fr/cid22130/les-cifre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nrt.asso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Article.do;jsessionid=AA472993210822D0CD36BB65D6DE585A.tpdila08v_3?idArticle=LEGIARTI000027747800&amp;cidTexte=LEGITEXT000006071190&amp;categorieLien=id&amp;dateTexte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egifrance.gouv.fr/affichCodeArticle.do?cidTexte=LEGITEXT000006071191&amp;idArticle=LEGIARTI000006524410&amp;dateTexte=&amp;categorieLien=cid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anrt.asso.fr/fr/espace_cifre/accueil.js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258B-D28F-4961-BF4F-1FE8646F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Baussay</dc:creator>
  <cp:lastModifiedBy>Camille  TRIBOUT</cp:lastModifiedBy>
  <cp:revision>5</cp:revision>
  <cp:lastPrinted>2016-04-14T07:57:00Z</cp:lastPrinted>
  <dcterms:created xsi:type="dcterms:W3CDTF">2019-09-24T13:41:00Z</dcterms:created>
  <dcterms:modified xsi:type="dcterms:W3CDTF">2019-09-24T13:57:00Z</dcterms:modified>
</cp:coreProperties>
</file>